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7D3B" w14:textId="1E06EAEB" w:rsidR="007C5886" w:rsidRPr="00C46880" w:rsidRDefault="007C5886" w:rsidP="00937859">
      <w:pPr>
        <w:pStyle w:val="Nzov"/>
      </w:pPr>
      <w:r w:rsidRPr="00C46880">
        <w:t xml:space="preserve">M E S T O   Š A Ľ A   - </w:t>
      </w:r>
      <w:r w:rsidR="006E5A2A">
        <w:t xml:space="preserve"> </w:t>
      </w:r>
      <w:r w:rsidRPr="00C46880">
        <w:t>Mestský úrad</w:t>
      </w:r>
    </w:p>
    <w:p w14:paraId="1BCAF230" w14:textId="77777777" w:rsidR="007C5886" w:rsidRPr="00C46880" w:rsidRDefault="007C5886" w:rsidP="00BE68B5">
      <w:pPr>
        <w:pStyle w:val="Nadpis1"/>
      </w:pPr>
    </w:p>
    <w:p w14:paraId="53B9E64A" w14:textId="77777777" w:rsidR="007C5886" w:rsidRPr="00C46880" w:rsidRDefault="007C5886" w:rsidP="00BE68B5">
      <w:pPr>
        <w:pStyle w:val="Nadpis1"/>
      </w:pPr>
    </w:p>
    <w:p w14:paraId="1DC49055" w14:textId="77777777" w:rsidR="007C5886" w:rsidRPr="00C46880" w:rsidRDefault="007C5886" w:rsidP="00BE68B5">
      <w:pPr>
        <w:pStyle w:val="Nadpis1"/>
      </w:pPr>
    </w:p>
    <w:p w14:paraId="18E1D27D" w14:textId="77777777" w:rsidR="007C5886" w:rsidRPr="00C46880" w:rsidRDefault="007C5886" w:rsidP="00BE68B5">
      <w:pPr>
        <w:pStyle w:val="Nadpis1"/>
      </w:pPr>
    </w:p>
    <w:p w14:paraId="2A54D56F" w14:textId="5ECB484C" w:rsidR="007C5886" w:rsidRPr="00C46880" w:rsidRDefault="007C5886" w:rsidP="00937859">
      <w:pPr>
        <w:pStyle w:val="Nadpis1"/>
        <w:ind w:left="4956"/>
        <w:jc w:val="right"/>
        <w:rPr>
          <w:rFonts w:eastAsia="Arial Unicode MS"/>
          <w:b/>
          <w:sz w:val="28"/>
        </w:rPr>
      </w:pPr>
      <w:r w:rsidRPr="00C46880">
        <w:rPr>
          <w:b/>
          <w:sz w:val="28"/>
        </w:rPr>
        <w:t xml:space="preserve">Mestské zastupiteľstvo </w:t>
      </w:r>
      <w:r w:rsidR="006E5A2A">
        <w:rPr>
          <w:b/>
          <w:sz w:val="28"/>
        </w:rPr>
        <w:t xml:space="preserve">v </w:t>
      </w:r>
      <w:r w:rsidRPr="00C46880">
        <w:rPr>
          <w:b/>
          <w:sz w:val="28"/>
        </w:rPr>
        <w:t>Ša</w:t>
      </w:r>
      <w:r w:rsidR="006E5A2A">
        <w:rPr>
          <w:b/>
          <w:sz w:val="28"/>
        </w:rPr>
        <w:t>li</w:t>
      </w:r>
      <w:r w:rsidRPr="00C46880">
        <w:t xml:space="preserve">     </w:t>
      </w:r>
    </w:p>
    <w:p w14:paraId="138CDCDE" w14:textId="77777777" w:rsidR="007C5886" w:rsidRPr="00C46880" w:rsidRDefault="007C5886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1E01E673" w14:textId="77777777" w:rsidR="007C5886" w:rsidRPr="00C46880" w:rsidRDefault="007C5886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9F28D4A" w14:textId="1D024751" w:rsidR="007C5886" w:rsidRDefault="007C5886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B76A5A5" w14:textId="11BDA620" w:rsidR="00937859" w:rsidRDefault="00937859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339AE4C7" w14:textId="58478740" w:rsidR="00937859" w:rsidRDefault="00937859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B1C7DBD" w14:textId="77777777" w:rsidR="00937859" w:rsidRPr="00C46880" w:rsidRDefault="00937859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9231C9B" w14:textId="67681BCD" w:rsidR="007C5886" w:rsidRPr="00C46880" w:rsidRDefault="007C5886" w:rsidP="00BE68B5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C46880">
        <w:rPr>
          <w:rFonts w:ascii="Times New Roman" w:hAnsi="Times New Roman" w:cs="Times New Roman"/>
          <w:b/>
          <w:sz w:val="24"/>
        </w:rPr>
        <w:t>Materiál číslo</w:t>
      </w:r>
      <w:r w:rsidR="006E5A2A">
        <w:rPr>
          <w:rFonts w:ascii="Times New Roman" w:hAnsi="Times New Roman" w:cs="Times New Roman"/>
          <w:b/>
          <w:sz w:val="24"/>
        </w:rPr>
        <w:t xml:space="preserve"> H 2/5/</w:t>
      </w:r>
      <w:r w:rsidRPr="00C46880">
        <w:rPr>
          <w:rFonts w:ascii="Times New Roman" w:hAnsi="Times New Roman" w:cs="Times New Roman"/>
          <w:b/>
          <w:sz w:val="24"/>
        </w:rPr>
        <w:t>20</w:t>
      </w:r>
      <w:r w:rsidR="00F528FB">
        <w:rPr>
          <w:rFonts w:ascii="Times New Roman" w:hAnsi="Times New Roman" w:cs="Times New Roman"/>
          <w:b/>
          <w:sz w:val="24"/>
        </w:rPr>
        <w:t>20</w:t>
      </w:r>
    </w:p>
    <w:p w14:paraId="530D6683" w14:textId="181BB3F3" w:rsidR="00BF5606" w:rsidRDefault="00565DE4" w:rsidP="00BE68B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Návrh na medzinárodnú spoluprácu a informácia o pripravovanom projekte v rámci HORIZON 2020</w:t>
      </w:r>
    </w:p>
    <w:p w14:paraId="44228156" w14:textId="5ED52670" w:rsidR="007C5886" w:rsidRDefault="007C5886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785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14:paraId="32308B47" w14:textId="0B5BEE8D" w:rsidR="00937859" w:rsidRDefault="00937859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DB3CD6" w14:textId="55B9BEA0" w:rsidR="00937859" w:rsidRDefault="00937859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1D2D4A5" w14:textId="20349396" w:rsidR="00937859" w:rsidRDefault="00937859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0EAC93" w14:textId="79FF3706" w:rsidR="00937859" w:rsidRDefault="00937859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EEE727" w14:textId="77777777" w:rsidR="00937859" w:rsidRPr="00937859" w:rsidRDefault="00937859" w:rsidP="00BE68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AC8A099" w14:textId="77777777" w:rsidR="007C5886" w:rsidRPr="00C46880" w:rsidRDefault="007C5886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C46880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7DC5FE0C" w14:textId="77777777" w:rsidR="007C5886" w:rsidRPr="00C46880" w:rsidRDefault="007C5886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B004ED" w14:textId="77777777" w:rsidR="007C5886" w:rsidRPr="00BE11D4" w:rsidRDefault="007C5886" w:rsidP="00BE68B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1D4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2EB7170" w14:textId="50CE3F0F" w:rsidR="00832599" w:rsidRPr="00376507" w:rsidRDefault="00832599" w:rsidP="00376507">
      <w:pPr>
        <w:pStyle w:val="Odsekzoznamu"/>
        <w:numPr>
          <w:ilvl w:val="0"/>
          <w:numId w:val="25"/>
        </w:num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76507">
        <w:rPr>
          <w:rFonts w:ascii="Times New Roman" w:hAnsi="Times New Roman"/>
          <w:b/>
          <w:sz w:val="24"/>
          <w:szCs w:val="24"/>
        </w:rPr>
        <w:t xml:space="preserve">prerokovalo </w:t>
      </w:r>
    </w:p>
    <w:p w14:paraId="556978EE" w14:textId="7E61DEEB" w:rsidR="00832599" w:rsidRPr="00832599" w:rsidRDefault="00832599" w:rsidP="00832599">
      <w:pPr>
        <w:pStyle w:val="Odsekzoznamu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32599">
        <w:rPr>
          <w:rFonts w:ascii="Times New Roman" w:hAnsi="Times New Roman"/>
          <w:bCs/>
          <w:sz w:val="24"/>
          <w:szCs w:val="24"/>
        </w:rPr>
        <w:t>návrh na medzinárodnú spoluprácu a informáci</w:t>
      </w:r>
      <w:r w:rsidR="006E5A2A">
        <w:rPr>
          <w:rFonts w:ascii="Times New Roman" w:hAnsi="Times New Roman"/>
          <w:bCs/>
          <w:sz w:val="24"/>
          <w:szCs w:val="24"/>
        </w:rPr>
        <w:t>u</w:t>
      </w:r>
      <w:r w:rsidRPr="00832599">
        <w:rPr>
          <w:rFonts w:ascii="Times New Roman" w:hAnsi="Times New Roman"/>
          <w:bCs/>
          <w:sz w:val="24"/>
          <w:szCs w:val="24"/>
        </w:rPr>
        <w:t xml:space="preserve"> o pripravovanom projekte v rámci HORIZON 2020</w:t>
      </w:r>
      <w:r w:rsidR="006E5A2A">
        <w:rPr>
          <w:rFonts w:ascii="Times New Roman" w:hAnsi="Times New Roman"/>
          <w:bCs/>
          <w:sz w:val="24"/>
          <w:szCs w:val="24"/>
        </w:rPr>
        <w:t>,</w:t>
      </w:r>
    </w:p>
    <w:p w14:paraId="4D7E994E" w14:textId="0451F1FD" w:rsidR="007C5886" w:rsidRPr="00376507" w:rsidRDefault="007C5886" w:rsidP="00376507">
      <w:pPr>
        <w:pStyle w:val="Odsekzoznamu"/>
        <w:numPr>
          <w:ilvl w:val="0"/>
          <w:numId w:val="25"/>
        </w:num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76507">
        <w:rPr>
          <w:rFonts w:ascii="Times New Roman" w:hAnsi="Times New Roman"/>
          <w:b/>
          <w:sz w:val="24"/>
          <w:szCs w:val="24"/>
        </w:rPr>
        <w:t>schvaľuje</w:t>
      </w:r>
    </w:p>
    <w:p w14:paraId="145579CF" w14:textId="2978BDF2" w:rsidR="00937859" w:rsidRDefault="00937859" w:rsidP="00BE68B5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zapojenie sa do pripravovaného projektu v rámci programu HORIZON 2020</w:t>
      </w:r>
      <w:r w:rsidR="006729D5">
        <w:rPr>
          <w:rFonts w:ascii="Times New Roman" w:hAnsi="Times New Roman" w:cs="Times New Roman"/>
          <w:color w:val="auto"/>
        </w:rPr>
        <w:t>;</w:t>
      </w:r>
    </w:p>
    <w:p w14:paraId="0CCC2ADE" w14:textId="5CC3F576" w:rsidR="000503C8" w:rsidRPr="00BE11D4" w:rsidRDefault="00AA2CB2" w:rsidP="00BE68B5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nadviazanie medzinárodnej spolupráce s mestom </w:t>
      </w:r>
      <w:proofErr w:type="spellStart"/>
      <w:r>
        <w:rPr>
          <w:rFonts w:ascii="Times New Roman" w:hAnsi="Times New Roman" w:cs="Times New Roman"/>
          <w:color w:val="auto"/>
        </w:rPr>
        <w:t>Tatabánya</w:t>
      </w:r>
      <w:proofErr w:type="spellEnd"/>
      <w:r>
        <w:rPr>
          <w:rFonts w:ascii="Times New Roman" w:hAnsi="Times New Roman" w:cs="Times New Roman"/>
          <w:color w:val="auto"/>
        </w:rPr>
        <w:t xml:space="preserve"> (Maďarsko), ako hlavným partnerom a žiadateľom projektu </w:t>
      </w:r>
      <w:r w:rsidR="00937859">
        <w:rPr>
          <w:rFonts w:ascii="Times New Roman" w:hAnsi="Times New Roman" w:cs="Times New Roman"/>
          <w:color w:val="auto"/>
        </w:rPr>
        <w:t>pripravovaného v</w:t>
      </w:r>
      <w:r w:rsidR="005675CC">
        <w:rPr>
          <w:rFonts w:ascii="Times New Roman" w:hAnsi="Times New Roman" w:cs="Times New Roman"/>
          <w:color w:val="auto"/>
        </w:rPr>
        <w:t xml:space="preserve"> </w:t>
      </w:r>
      <w:r w:rsidR="00937859">
        <w:rPr>
          <w:rFonts w:ascii="Times New Roman" w:hAnsi="Times New Roman" w:cs="Times New Roman"/>
          <w:color w:val="auto"/>
        </w:rPr>
        <w:t xml:space="preserve">rámci programu HORIZON 2020 </w:t>
      </w:r>
      <w:r>
        <w:rPr>
          <w:rFonts w:ascii="Times New Roman" w:hAnsi="Times New Roman" w:cs="Times New Roman"/>
          <w:color w:val="auto"/>
        </w:rPr>
        <w:t>a ďalšími partnermi zo súkromnej sféry formou uzatvoreni</w:t>
      </w:r>
      <w:r w:rsidR="00937859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konzorčnej</w:t>
      </w:r>
      <w:proofErr w:type="spellEnd"/>
      <w:r>
        <w:rPr>
          <w:rFonts w:ascii="Times New Roman" w:hAnsi="Times New Roman" w:cs="Times New Roman"/>
          <w:color w:val="auto"/>
        </w:rPr>
        <w:t xml:space="preserve"> zmluvy</w:t>
      </w:r>
      <w:r w:rsidR="000503C8" w:rsidRPr="00BE11D4">
        <w:rPr>
          <w:rFonts w:ascii="Times New Roman" w:hAnsi="Times New Roman" w:cs="Times New Roman"/>
          <w:color w:val="auto"/>
        </w:rPr>
        <w:t xml:space="preserve">; </w:t>
      </w:r>
    </w:p>
    <w:p w14:paraId="0F953ED9" w14:textId="3E00A8C1" w:rsidR="000503C8" w:rsidRPr="00BE11D4" w:rsidRDefault="000503C8" w:rsidP="00BE68B5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realizácie projektu </w:t>
      </w:r>
      <w:r w:rsidR="00937859">
        <w:rPr>
          <w:rFonts w:ascii="Times New Roman" w:hAnsi="Times New Roman" w:cs="Times New Roman"/>
          <w:color w:val="auto"/>
        </w:rPr>
        <w:t xml:space="preserve">po jeho schválení </w:t>
      </w:r>
      <w:r w:rsidRPr="00BE11D4">
        <w:rPr>
          <w:rFonts w:ascii="Times New Roman" w:hAnsi="Times New Roman" w:cs="Times New Roman"/>
          <w:color w:val="auto"/>
        </w:rPr>
        <w:t>v súlade s podmienkami poskytnutia pomoci</w:t>
      </w:r>
      <w:r w:rsidR="006729D5">
        <w:rPr>
          <w:rFonts w:ascii="Times New Roman" w:hAnsi="Times New Roman" w:cs="Times New Roman"/>
          <w:color w:val="auto"/>
        </w:rPr>
        <w:t>.</w:t>
      </w:r>
    </w:p>
    <w:p w14:paraId="71A81AFF" w14:textId="3E269451" w:rsidR="007C5886" w:rsidRDefault="007C5886" w:rsidP="00BE68B5">
      <w:pPr>
        <w:pStyle w:val="Zkladntext"/>
        <w:rPr>
          <w:color w:val="FF0000"/>
          <w:sz w:val="24"/>
          <w:szCs w:val="24"/>
        </w:rPr>
      </w:pPr>
    </w:p>
    <w:p w14:paraId="6914B666" w14:textId="5AA65220" w:rsidR="00937859" w:rsidRDefault="00937859" w:rsidP="00BE68B5">
      <w:pPr>
        <w:pStyle w:val="Zkladntext"/>
        <w:rPr>
          <w:color w:val="FF0000"/>
          <w:sz w:val="24"/>
          <w:szCs w:val="24"/>
        </w:rPr>
      </w:pPr>
    </w:p>
    <w:p w14:paraId="39A9851E" w14:textId="3764B487" w:rsidR="00937859" w:rsidRDefault="00937859" w:rsidP="00BE68B5">
      <w:pPr>
        <w:pStyle w:val="Zkladntext"/>
        <w:rPr>
          <w:color w:val="FF0000"/>
          <w:sz w:val="24"/>
          <w:szCs w:val="24"/>
        </w:rPr>
      </w:pPr>
    </w:p>
    <w:p w14:paraId="2D6E76B6" w14:textId="4F1E583C" w:rsidR="00937859" w:rsidRDefault="00937859" w:rsidP="00BE68B5">
      <w:pPr>
        <w:pStyle w:val="Zkladntext"/>
        <w:rPr>
          <w:color w:val="FF0000"/>
          <w:sz w:val="24"/>
          <w:szCs w:val="24"/>
        </w:rPr>
      </w:pPr>
    </w:p>
    <w:p w14:paraId="5A2BCB83" w14:textId="77777777" w:rsidR="00832599" w:rsidRDefault="00832599" w:rsidP="00BE68B5">
      <w:pPr>
        <w:pStyle w:val="Zkladntext"/>
        <w:rPr>
          <w:color w:val="FF0000"/>
          <w:sz w:val="24"/>
          <w:szCs w:val="24"/>
        </w:rPr>
      </w:pPr>
    </w:p>
    <w:p w14:paraId="2D74517E" w14:textId="62671222" w:rsidR="00937859" w:rsidRDefault="00937859" w:rsidP="00BE68B5">
      <w:pPr>
        <w:pStyle w:val="Zkladntext"/>
        <w:rPr>
          <w:color w:val="FF0000"/>
          <w:sz w:val="24"/>
          <w:szCs w:val="24"/>
        </w:rPr>
      </w:pPr>
    </w:p>
    <w:p w14:paraId="55ED56A5" w14:textId="0D21E26B" w:rsidR="00937859" w:rsidRDefault="00937859" w:rsidP="00BE68B5">
      <w:pPr>
        <w:pStyle w:val="Zkladntext"/>
        <w:rPr>
          <w:color w:val="FF0000"/>
          <w:sz w:val="24"/>
          <w:szCs w:val="24"/>
        </w:rPr>
      </w:pPr>
    </w:p>
    <w:p w14:paraId="5920A311" w14:textId="77777777" w:rsidR="007C5886" w:rsidRPr="005E3B3E" w:rsidRDefault="007C5886" w:rsidP="00BE68B5">
      <w:pPr>
        <w:pStyle w:val="Zkladntext"/>
        <w:rPr>
          <w:sz w:val="24"/>
        </w:rPr>
      </w:pPr>
      <w:r w:rsidRPr="005E3B3E">
        <w:rPr>
          <w:sz w:val="24"/>
        </w:rPr>
        <w:t>Spracoval:</w:t>
      </w:r>
      <w:r w:rsidRPr="005E3B3E">
        <w:rPr>
          <w:b w:val="0"/>
          <w:bCs/>
        </w:rPr>
        <w:t xml:space="preserve"> </w:t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  <w:t xml:space="preserve">    </w:t>
      </w:r>
      <w:r w:rsidRPr="005E3B3E">
        <w:rPr>
          <w:sz w:val="24"/>
        </w:rPr>
        <w:t>Predkladá:</w:t>
      </w:r>
      <w:r w:rsidRPr="005E3B3E">
        <w:rPr>
          <w:b w:val="0"/>
          <w:bCs/>
        </w:rPr>
        <w:t xml:space="preserve"> </w:t>
      </w:r>
    </w:p>
    <w:p w14:paraId="541CBBE2" w14:textId="77777777" w:rsidR="007C5886" w:rsidRPr="005675CC" w:rsidRDefault="007C5886" w:rsidP="00BE68B5">
      <w:pPr>
        <w:pStyle w:val="Zkladntext"/>
        <w:rPr>
          <w:b w:val="0"/>
          <w:bCs/>
          <w:i/>
          <w:iCs/>
          <w:sz w:val="24"/>
          <w:szCs w:val="24"/>
        </w:rPr>
      </w:pPr>
      <w:r w:rsidRPr="005675CC">
        <w:rPr>
          <w:b w:val="0"/>
          <w:bCs/>
          <w:sz w:val="24"/>
          <w:szCs w:val="24"/>
        </w:rPr>
        <w:t>Ing. Eliška Vargová v. r.</w:t>
      </w:r>
      <w:r w:rsidRPr="005675CC">
        <w:rPr>
          <w:b w:val="0"/>
          <w:bCs/>
        </w:rPr>
        <w:t xml:space="preserve"> </w:t>
      </w:r>
      <w:r w:rsidRPr="005675CC">
        <w:rPr>
          <w:b w:val="0"/>
          <w:bCs/>
        </w:rPr>
        <w:tab/>
      </w:r>
      <w:r w:rsidRPr="005675CC">
        <w:rPr>
          <w:b w:val="0"/>
          <w:bCs/>
        </w:rPr>
        <w:tab/>
      </w:r>
      <w:r w:rsidRPr="005675CC">
        <w:rPr>
          <w:b w:val="0"/>
          <w:bCs/>
        </w:rPr>
        <w:tab/>
      </w:r>
      <w:r w:rsidRPr="005675CC">
        <w:rPr>
          <w:b w:val="0"/>
          <w:bCs/>
        </w:rPr>
        <w:tab/>
      </w:r>
      <w:r w:rsidRPr="005675CC">
        <w:rPr>
          <w:b w:val="0"/>
          <w:bCs/>
        </w:rPr>
        <w:tab/>
      </w:r>
      <w:r w:rsidRPr="005675CC">
        <w:rPr>
          <w:b w:val="0"/>
          <w:bCs/>
        </w:rPr>
        <w:tab/>
        <w:t xml:space="preserve">    </w:t>
      </w:r>
      <w:r w:rsidRPr="005675CC">
        <w:rPr>
          <w:b w:val="0"/>
          <w:bCs/>
          <w:sz w:val="24"/>
          <w:szCs w:val="24"/>
        </w:rPr>
        <w:t>Ing. Eliška Vargová v. r.</w:t>
      </w:r>
    </w:p>
    <w:p w14:paraId="6D60BED7" w14:textId="1997E47C" w:rsidR="007C5886" w:rsidRPr="005E3B3E" w:rsidRDefault="005675CC" w:rsidP="00BE68B5">
      <w:pPr>
        <w:pStyle w:val="Zkladntext"/>
        <w:rPr>
          <w:b w:val="0"/>
          <w:bCs/>
        </w:rPr>
      </w:pPr>
      <w:r>
        <w:rPr>
          <w:b w:val="0"/>
          <w:bCs/>
          <w:sz w:val="24"/>
          <w:szCs w:val="24"/>
        </w:rPr>
        <w:t xml:space="preserve">referentka </w:t>
      </w:r>
      <w:proofErr w:type="spellStart"/>
      <w:r w:rsidR="007C5886" w:rsidRPr="005E3B3E">
        <w:rPr>
          <w:b w:val="0"/>
          <w:bCs/>
          <w:sz w:val="24"/>
          <w:szCs w:val="24"/>
        </w:rPr>
        <w:t>OSaKČ</w:t>
      </w:r>
      <w:proofErr w:type="spellEnd"/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  <w:t xml:space="preserve">     </w:t>
      </w:r>
      <w:r>
        <w:rPr>
          <w:b w:val="0"/>
          <w:bCs/>
          <w:sz w:val="24"/>
          <w:szCs w:val="24"/>
        </w:rPr>
        <w:t xml:space="preserve">referentka </w:t>
      </w:r>
      <w:proofErr w:type="spellStart"/>
      <w:r w:rsidR="007C5886" w:rsidRPr="005E3B3E">
        <w:rPr>
          <w:b w:val="0"/>
          <w:bCs/>
          <w:sz w:val="24"/>
          <w:szCs w:val="24"/>
        </w:rPr>
        <w:t>OSaKČ</w:t>
      </w:r>
      <w:proofErr w:type="spellEnd"/>
    </w:p>
    <w:p w14:paraId="338633F8" w14:textId="2A8ABEA2" w:rsidR="007C5886" w:rsidRDefault="007C5886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7C02186" w14:textId="77777777" w:rsidR="00937859" w:rsidRPr="005E3B3E" w:rsidRDefault="00937859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3E84804B" w14:textId="5D2B5900" w:rsidR="00FE1EF4" w:rsidRDefault="00FE1EF4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2581065" w14:textId="77777777" w:rsidR="00937859" w:rsidRPr="005E3B3E" w:rsidRDefault="00937859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C3A96DB" w14:textId="77777777" w:rsidR="007C5886" w:rsidRPr="005E3B3E" w:rsidRDefault="007C5886" w:rsidP="00BE68B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E3B3E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528FB" w:rsidRPr="005E3B3E">
        <w:rPr>
          <w:rFonts w:ascii="Times New Roman" w:hAnsi="Times New Roman" w:cs="Times New Roman"/>
          <w:sz w:val="24"/>
          <w:szCs w:val="24"/>
        </w:rPr>
        <w:t>20. augusta 2020</w:t>
      </w:r>
    </w:p>
    <w:p w14:paraId="6EBA590D" w14:textId="0BB1DE1A" w:rsidR="007C5886" w:rsidRPr="00BE11D4" w:rsidRDefault="007C5886" w:rsidP="00BE68B5">
      <w:pPr>
        <w:pStyle w:val="Nzov"/>
        <w:jc w:val="left"/>
        <w:rPr>
          <w:sz w:val="24"/>
          <w:szCs w:val="24"/>
        </w:rPr>
      </w:pPr>
      <w:r w:rsidRPr="00BE11D4">
        <w:rPr>
          <w:sz w:val="24"/>
          <w:szCs w:val="24"/>
        </w:rPr>
        <w:lastRenderedPageBreak/>
        <w:t>Dôvodová správa</w:t>
      </w:r>
      <w:r w:rsidR="006E5A2A">
        <w:rPr>
          <w:sz w:val="24"/>
          <w:szCs w:val="24"/>
        </w:rPr>
        <w:t>:</w:t>
      </w:r>
      <w:r w:rsidRPr="00BE11D4">
        <w:rPr>
          <w:sz w:val="24"/>
          <w:szCs w:val="24"/>
        </w:rPr>
        <w:t xml:space="preserve">             </w:t>
      </w:r>
    </w:p>
    <w:p w14:paraId="7DF72D8C" w14:textId="77777777" w:rsidR="007C5886" w:rsidRPr="00F528FB" w:rsidRDefault="007C5886" w:rsidP="00BE68B5">
      <w:pPr>
        <w:pStyle w:val="Nzov"/>
        <w:jc w:val="both"/>
        <w:rPr>
          <w:b w:val="0"/>
          <w:color w:val="FF0000"/>
          <w:sz w:val="24"/>
          <w:szCs w:val="24"/>
        </w:rPr>
      </w:pPr>
    </w:p>
    <w:p w14:paraId="265FCE82" w14:textId="5622344F" w:rsidR="007F7F8A" w:rsidRPr="00BE68B5" w:rsidRDefault="00AA2CB2" w:rsidP="007F7F8A">
      <w:pPr>
        <w:pStyle w:val="Normlnywebov"/>
        <w:spacing w:before="0" w:beforeAutospacing="0" w:after="0" w:afterAutospacing="0"/>
        <w:jc w:val="both"/>
      </w:pPr>
      <w:r w:rsidRPr="00505F5C">
        <w:t>Mesto</w:t>
      </w:r>
      <w:r>
        <w:t xml:space="preserve"> </w:t>
      </w:r>
      <w:proofErr w:type="spellStart"/>
      <w:r>
        <w:t>Tatabánya</w:t>
      </w:r>
      <w:proofErr w:type="spellEnd"/>
      <w:r>
        <w:t xml:space="preserve"> </w:t>
      </w:r>
      <w:r w:rsidR="007F7F8A">
        <w:t>pripravuje žiadosť o poskytnutie nenávratného finančného príspevku v rámci programu HORIZON 2020. J</w:t>
      </w:r>
      <w:r w:rsidR="007F7F8A" w:rsidRPr="00BE68B5">
        <w:t xml:space="preserve">e </w:t>
      </w:r>
      <w:r w:rsidR="007F7F8A">
        <w:t xml:space="preserve">to </w:t>
      </w:r>
      <w:r w:rsidR="007F7F8A" w:rsidRPr="00BE68B5">
        <w:t xml:space="preserve">program financovaný </w:t>
      </w:r>
      <w:r w:rsidR="006F08F3">
        <w:t>Európskou úniou určený</w:t>
      </w:r>
      <w:r w:rsidR="007F7F8A" w:rsidRPr="00BE68B5">
        <w:t xml:space="preserve"> pre výskum a inovácie v rámci programového obdobia 2014 – 2020. Poskytuje podporu pre projekty </w:t>
      </w:r>
      <w:proofErr w:type="spellStart"/>
      <w:r w:rsidR="007F7F8A" w:rsidRPr="00BE68B5">
        <w:t>multinacionálnej</w:t>
      </w:r>
      <w:proofErr w:type="spellEnd"/>
      <w:r w:rsidR="007F7F8A" w:rsidRPr="00BE68B5">
        <w:t xml:space="preserve"> spolupráce ako aj pre individuálnych výskumníkov a</w:t>
      </w:r>
      <w:r w:rsidR="007F7F8A">
        <w:t> </w:t>
      </w:r>
      <w:r w:rsidR="007F7F8A" w:rsidRPr="00BE68B5">
        <w:t>podporuje</w:t>
      </w:r>
      <w:r w:rsidR="007F7F8A">
        <w:t xml:space="preserve"> aj</w:t>
      </w:r>
      <w:r w:rsidR="007F7F8A" w:rsidRPr="00BE68B5">
        <w:t xml:space="preserve"> malé a stredné podniky svojím špeciálnym podporným nástrojom</w:t>
      </w:r>
      <w:r w:rsidR="006F08F3">
        <w:t xml:space="preserve"> v oblasti výskumu a inovácií</w:t>
      </w:r>
      <w:r w:rsidR="007F7F8A" w:rsidRPr="00BE68B5">
        <w:t>.</w:t>
      </w:r>
    </w:p>
    <w:p w14:paraId="7D903CF0" w14:textId="198B40A3" w:rsidR="00E81D18" w:rsidRDefault="006F08F3" w:rsidP="00BE68B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V zmysle </w:t>
      </w:r>
      <w:r w:rsidRPr="007F7F8A">
        <w:rPr>
          <w:rFonts w:ascii="Times New Roman" w:hAnsi="Times New Roman" w:cs="Times New Roman"/>
          <w:color w:val="auto"/>
        </w:rPr>
        <w:t>§11, ods</w:t>
      </w:r>
      <w:r>
        <w:rPr>
          <w:rFonts w:ascii="Times New Roman" w:hAnsi="Times New Roman" w:cs="Times New Roman"/>
          <w:color w:val="auto"/>
        </w:rPr>
        <w:t xml:space="preserve">. </w:t>
      </w:r>
      <w:r w:rsidRPr="007F7F8A">
        <w:rPr>
          <w:rFonts w:ascii="Times New Roman" w:hAnsi="Times New Roman" w:cs="Times New Roman"/>
          <w:color w:val="auto"/>
        </w:rPr>
        <w:t>4, pí</w:t>
      </w:r>
      <w:r>
        <w:rPr>
          <w:rFonts w:ascii="Times New Roman" w:hAnsi="Times New Roman" w:cs="Times New Roman"/>
          <w:color w:val="auto"/>
        </w:rPr>
        <w:t>s</w:t>
      </w:r>
      <w:r w:rsidRPr="007F7F8A">
        <w:rPr>
          <w:rFonts w:ascii="Times New Roman" w:hAnsi="Times New Roman" w:cs="Times New Roman"/>
          <w:color w:val="auto"/>
        </w:rPr>
        <w:t>m</w:t>
      </w:r>
      <w:r>
        <w:rPr>
          <w:rFonts w:ascii="Times New Roman" w:hAnsi="Times New Roman" w:cs="Times New Roman"/>
          <w:color w:val="auto"/>
        </w:rPr>
        <w:t>.</w:t>
      </w:r>
      <w:r w:rsidRPr="007F7F8A">
        <w:rPr>
          <w:rFonts w:ascii="Times New Roman" w:hAnsi="Times New Roman" w:cs="Times New Roman"/>
          <w:color w:val="auto"/>
        </w:rPr>
        <w:t xml:space="preserve"> h) </w:t>
      </w:r>
      <w:r>
        <w:rPr>
          <w:rFonts w:ascii="Times New Roman" w:hAnsi="Times New Roman" w:cs="Times New Roman"/>
          <w:color w:val="auto"/>
        </w:rPr>
        <w:t xml:space="preserve"> </w:t>
      </w:r>
      <w:r w:rsidRPr="007F7F8A">
        <w:rPr>
          <w:rFonts w:ascii="Times New Roman" w:hAnsi="Times New Roman" w:cs="Times New Roman"/>
          <w:color w:val="auto"/>
        </w:rPr>
        <w:t xml:space="preserve">zákona č. 369/1990 Zb. </w:t>
      </w:r>
      <w:r>
        <w:rPr>
          <w:rFonts w:ascii="Times New Roman" w:hAnsi="Times New Roman" w:cs="Times New Roman"/>
          <w:color w:val="auto"/>
        </w:rPr>
        <w:t xml:space="preserve">o obecnom zriadení </w:t>
      </w:r>
      <w:r w:rsidRPr="007F7F8A">
        <w:rPr>
          <w:rFonts w:ascii="Times New Roman" w:hAnsi="Times New Roman" w:cs="Times New Roman"/>
          <w:color w:val="auto"/>
        </w:rPr>
        <w:t>v znení neskorších predpisov</w:t>
      </w:r>
      <w:r>
        <w:rPr>
          <w:rFonts w:ascii="Times New Roman" w:hAnsi="Times New Roman" w:cs="Times New Roman"/>
          <w:color w:val="auto"/>
        </w:rPr>
        <w:t>, o</w:t>
      </w:r>
      <w:r w:rsidR="00E81D18" w:rsidRPr="007F7F8A">
        <w:rPr>
          <w:rFonts w:ascii="Times New Roman" w:hAnsi="Times New Roman" w:cs="Times New Roman"/>
          <w:color w:val="auto"/>
        </w:rPr>
        <w:t>becné zastupi</w:t>
      </w:r>
      <w:r w:rsidR="00E81D18">
        <w:rPr>
          <w:rFonts w:ascii="Times New Roman" w:hAnsi="Times New Roman" w:cs="Times New Roman"/>
          <w:color w:val="auto"/>
        </w:rPr>
        <w:t>te</w:t>
      </w:r>
      <w:r w:rsidR="00E81D18" w:rsidRPr="007F7F8A">
        <w:rPr>
          <w:rFonts w:ascii="Times New Roman" w:hAnsi="Times New Roman" w:cs="Times New Roman"/>
          <w:color w:val="auto"/>
        </w:rPr>
        <w:t xml:space="preserve">ľstvo rozhoduje o základných otázkach života obce, </w:t>
      </w:r>
      <w:r>
        <w:rPr>
          <w:rFonts w:ascii="Times New Roman" w:hAnsi="Times New Roman" w:cs="Times New Roman"/>
          <w:color w:val="auto"/>
        </w:rPr>
        <w:t>v zmysle uvedeného bodu j</w:t>
      </w:r>
      <w:r w:rsidR="00E81D18" w:rsidRPr="007F7F8A">
        <w:rPr>
          <w:rFonts w:ascii="Times New Roman" w:hAnsi="Times New Roman" w:cs="Times New Roman"/>
          <w:color w:val="auto"/>
        </w:rPr>
        <w:t>e mu vyhradené</w:t>
      </w:r>
      <w:r w:rsidR="00E81D18">
        <w:rPr>
          <w:rFonts w:ascii="Times New Roman" w:hAnsi="Times New Roman" w:cs="Times New Roman"/>
          <w:color w:val="auto"/>
        </w:rPr>
        <w:t xml:space="preserve"> </w:t>
      </w:r>
      <w:r w:rsidR="00E81D18" w:rsidRPr="007F7F8A">
        <w:rPr>
          <w:rFonts w:ascii="Times New Roman" w:hAnsi="Times New Roman" w:cs="Times New Roman"/>
          <w:color w:val="auto"/>
        </w:rPr>
        <w:t>schvaľovať dohody o medzinárodnej spolupráci a členstvo obce v medzinárodnom združení podľa </w:t>
      </w:r>
      <w:hyperlink r:id="rId7" w:anchor="paragraf-21.odsek-1" w:tooltip="Odkaz na predpis alebo ustanovenie" w:history="1">
        <w:r w:rsidR="00E81D18" w:rsidRPr="007F7F8A">
          <w:rPr>
            <w:rFonts w:ascii="Times New Roman" w:hAnsi="Times New Roman" w:cs="Times New Roman"/>
            <w:color w:val="auto"/>
          </w:rPr>
          <w:t>§ 21 ods. 1</w:t>
        </w:r>
      </w:hyperlink>
      <w:r w:rsidR="00E81D1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Na základe uvedeného predkladáme Mestskému zastupiteľstvu v Šali informáciu o pripravovanom projekte a návrh na medzinárodnú spoluprácu v medziach tohto projektu.</w:t>
      </w:r>
    </w:p>
    <w:p w14:paraId="20D4ADB3" w14:textId="77777777" w:rsidR="007313CF" w:rsidRDefault="007313CF" w:rsidP="00E8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3B5BA6" w14:textId="7E7C9549" w:rsidR="007F7F8A" w:rsidRDefault="00E81D18" w:rsidP="00E8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</w:t>
      </w:r>
      <w:r w:rsidR="006F08F3">
        <w:rPr>
          <w:rFonts w:ascii="Times New Roman" w:hAnsi="Times New Roman" w:cs="Times New Roman"/>
        </w:rPr>
        <w:t>je zatiaľ vedený pod</w:t>
      </w:r>
      <w:r>
        <w:rPr>
          <w:rFonts w:ascii="Times New Roman" w:hAnsi="Times New Roman" w:cs="Times New Roman"/>
        </w:rPr>
        <w:t xml:space="preserve"> </w:t>
      </w:r>
      <w:r w:rsidR="006F08F3">
        <w:rPr>
          <w:rFonts w:ascii="Times New Roman" w:hAnsi="Times New Roman" w:cs="Times New Roman"/>
        </w:rPr>
        <w:t xml:space="preserve">pracovným </w:t>
      </w:r>
      <w:r>
        <w:rPr>
          <w:rFonts w:ascii="Times New Roman" w:hAnsi="Times New Roman" w:cs="Times New Roman"/>
        </w:rPr>
        <w:t>názvom „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>SAFE CITY – I.S.O.C.</w:t>
      </w:r>
      <w:r>
        <w:rPr>
          <w:rFonts w:ascii="Times New Roman" w:hAnsi="Times New Roman" w:cs="Times New Roman"/>
        </w:rPr>
        <w:t>“</w:t>
      </w:r>
      <w:r w:rsidRPr="00E81D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(Bezpečné mesto – Integrované bezpečnostné a operačné centrum</w:t>
      </w:r>
      <w:r w:rsidRPr="00E81D18">
        <w:rPr>
          <w:rFonts w:ascii="Times New Roman" w:hAnsi="Times New Roman" w:cs="Times New Roman"/>
          <w:b/>
          <w:bCs/>
        </w:rPr>
        <w:t>)</w:t>
      </w:r>
      <w:r w:rsidRPr="00BE68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81D18">
        <w:rPr>
          <w:rFonts w:ascii="Times New Roman" w:hAnsi="Times New Roman" w:cs="Times New Roman"/>
          <w:color w:val="000000"/>
          <w:sz w:val="24"/>
          <w:szCs w:val="24"/>
        </w:rPr>
        <w:t>ntegrované bezpečnostné riešenia pre bezpečnosť mesta.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F8A">
        <w:rPr>
          <w:rFonts w:ascii="Times New Roman" w:hAnsi="Times New Roman" w:cs="Times New Roman"/>
        </w:rPr>
        <w:t xml:space="preserve">Nakoľko presný názov projektu nebol </w:t>
      </w:r>
      <w:r>
        <w:rPr>
          <w:rFonts w:ascii="Times New Roman" w:hAnsi="Times New Roman" w:cs="Times New Roman"/>
        </w:rPr>
        <w:t xml:space="preserve">v čase spracovania </w:t>
      </w:r>
      <w:r w:rsidR="006F08F3">
        <w:rPr>
          <w:rFonts w:ascii="Times New Roman" w:hAnsi="Times New Roman" w:cs="Times New Roman"/>
        </w:rPr>
        <w:t>materiálu</w:t>
      </w:r>
      <w:r>
        <w:rPr>
          <w:rFonts w:ascii="Times New Roman" w:hAnsi="Times New Roman" w:cs="Times New Roman"/>
        </w:rPr>
        <w:t xml:space="preserve"> definitívne vybratý</w:t>
      </w:r>
      <w:r w:rsidR="007F7F8A">
        <w:rPr>
          <w:rFonts w:ascii="Times New Roman" w:hAnsi="Times New Roman" w:cs="Times New Roman"/>
        </w:rPr>
        <w:t>, nie je ani súčasťou textu uznesenia.</w:t>
      </w:r>
      <w:r>
        <w:rPr>
          <w:rFonts w:ascii="Times New Roman" w:hAnsi="Times New Roman" w:cs="Times New Roman"/>
        </w:rPr>
        <w:t xml:space="preserve"> </w:t>
      </w:r>
    </w:p>
    <w:p w14:paraId="3D766218" w14:textId="7D697E90" w:rsidR="00E81D18" w:rsidRPr="00BE68B5" w:rsidRDefault="00E81D18" w:rsidP="00505F5C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t>Projekt by mal byť preložený v rámci výzvy s kódom</w:t>
      </w:r>
      <w:r w:rsidRPr="00BE68B5">
        <w:rPr>
          <w:lang w:eastAsia="en-US"/>
        </w:rPr>
        <w:t xml:space="preserve"> SU-INFRA01-2018-2019-2020 –</w:t>
      </w:r>
      <w:r w:rsidR="005630A9">
        <w:rPr>
          <w:lang w:eastAsia="en-US"/>
        </w:rPr>
        <w:t xml:space="preserve"> a názvom: </w:t>
      </w:r>
      <w:r>
        <w:rPr>
          <w:lang w:eastAsia="en-US"/>
        </w:rPr>
        <w:t>P</w:t>
      </w:r>
      <w:r w:rsidRPr="00BE68B5">
        <w:rPr>
          <w:lang w:eastAsia="en-US"/>
        </w:rPr>
        <w:t>revencia, detekcia, reakcia a zmierňovanie kombinovaných fyzických a </w:t>
      </w:r>
      <w:r w:rsidRPr="00A42492">
        <w:rPr>
          <w:lang w:eastAsia="en-US"/>
        </w:rPr>
        <w:t>kybernetických  ohrození kritickej infraštruktúry</w:t>
      </w:r>
      <w:r w:rsidRPr="00BE68B5">
        <w:rPr>
          <w:lang w:eastAsia="en-US"/>
        </w:rPr>
        <w:t xml:space="preserve"> v</w:t>
      </w:r>
      <w:r w:rsidR="005630A9">
        <w:rPr>
          <w:lang w:eastAsia="en-US"/>
        </w:rPr>
        <w:t> </w:t>
      </w:r>
      <w:r w:rsidRPr="00BE68B5">
        <w:rPr>
          <w:lang w:eastAsia="en-US"/>
        </w:rPr>
        <w:t>Európe</w:t>
      </w:r>
      <w:r w:rsidR="005630A9">
        <w:rPr>
          <w:lang w:eastAsia="en-US"/>
        </w:rPr>
        <w:t xml:space="preserve">. </w:t>
      </w:r>
      <w:r w:rsidRPr="00BE68B5">
        <w:rPr>
          <w:lang w:eastAsia="en-US"/>
        </w:rPr>
        <w:t>Termín uzávierky na predkladanie žiadostí je 27.8.2020 o 17.00 hodine.</w:t>
      </w:r>
    </w:p>
    <w:p w14:paraId="346525EA" w14:textId="77777777" w:rsidR="007313CF" w:rsidRDefault="007313CF" w:rsidP="00505F5C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3D1FE584" w14:textId="1A18619B" w:rsidR="00CD177A" w:rsidRPr="00CD177A" w:rsidRDefault="00CD177A" w:rsidP="00505F5C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V rámci uvedenej výzvy by mali byť predkladané návrhy, ktoré by sa mali týkať: </w:t>
      </w:r>
      <w:r w:rsidRPr="00BE68B5">
        <w:rPr>
          <w:rFonts w:eastAsia="Times New Roman"/>
        </w:rPr>
        <w:t>prognózy, posudzovania fyzických a kybernetických rizík, prevencie, zisťovania, reakcie a</w:t>
      </w:r>
      <w:r>
        <w:rPr>
          <w:rFonts w:eastAsia="Times New Roman"/>
        </w:rPr>
        <w:t xml:space="preserve"> </w:t>
      </w:r>
      <w:r w:rsidRPr="00BE68B5">
        <w:rPr>
          <w:rFonts w:eastAsia="Times New Roman"/>
        </w:rPr>
        <w:t xml:space="preserve">v prípade </w:t>
      </w:r>
      <w:r>
        <w:rPr>
          <w:rFonts w:eastAsia="Times New Roman"/>
        </w:rPr>
        <w:t>výskytu</w:t>
      </w:r>
      <w:r w:rsidRPr="00BE68B5">
        <w:rPr>
          <w:rFonts w:eastAsia="Times New Roman"/>
        </w:rPr>
        <w:t xml:space="preserve">, zmierňovania následkov (vrátane nových návrhov zariadení) a rýchleho </w:t>
      </w:r>
      <w:r>
        <w:rPr>
          <w:rFonts w:eastAsia="Times New Roman"/>
        </w:rPr>
        <w:t>obnovenia</w:t>
      </w:r>
      <w:r w:rsidRPr="00BE68B5">
        <w:rPr>
          <w:rFonts w:eastAsia="Times New Roman"/>
        </w:rPr>
        <w:t xml:space="preserve"> po mimoriadnych udalostiach počas životnosti infraštruktúry s cieľom dosiahnuť bezpečnosť a odolnosť všetkých funkcií vykonávaných zariadeniami a susedného obyvateľstva a životného prostredia</w:t>
      </w:r>
      <w:r>
        <w:rPr>
          <w:rFonts w:eastAsia="Times New Roman"/>
        </w:rPr>
        <w:t>.</w:t>
      </w:r>
    </w:p>
    <w:p w14:paraId="02EFA6CD" w14:textId="77777777" w:rsidR="007313CF" w:rsidRDefault="007313CF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7BC48298" w14:textId="276C5B19" w:rsidR="00CD177A" w:rsidRDefault="00CD177A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A42492">
        <w:rPr>
          <w:lang w:eastAsia="en-US"/>
        </w:rPr>
        <w:t xml:space="preserve">Oprávnenými žiadateľmi sú najmenej 2 prevádzkovatelia vybraného typu kritickej infraštruktúry, ktorí pôsobia v 2 členských štátoch alebo pridružených krajinách, </w:t>
      </w:r>
      <w:r w:rsidR="006F08F3" w:rsidRPr="00A42492">
        <w:rPr>
          <w:lang w:eastAsia="en-US"/>
        </w:rPr>
        <w:t xml:space="preserve">zároveň </w:t>
      </w:r>
      <w:r w:rsidRPr="00A42492">
        <w:rPr>
          <w:lang w:eastAsia="en-US"/>
        </w:rPr>
        <w:t>musia byť príjemcami (prípadne, ale nie nevyhnutne, koordinátormi) dohody o grante a mali by sa</w:t>
      </w:r>
      <w:r w:rsidRPr="00BE68B5">
        <w:rPr>
          <w:lang w:eastAsia="en-US"/>
        </w:rPr>
        <w:t xml:space="preserve"> priamo podieľať na plnení úloh stanovených v</w:t>
      </w:r>
      <w:r>
        <w:rPr>
          <w:lang w:eastAsia="en-US"/>
        </w:rPr>
        <w:t> </w:t>
      </w:r>
      <w:r w:rsidRPr="00BE68B5">
        <w:rPr>
          <w:lang w:eastAsia="en-US"/>
        </w:rPr>
        <w:t>grant</w:t>
      </w:r>
      <w:r>
        <w:rPr>
          <w:lang w:eastAsia="en-US"/>
        </w:rPr>
        <w:t>ovej zmluve.</w:t>
      </w:r>
    </w:p>
    <w:p w14:paraId="35A2750D" w14:textId="438B7A5D" w:rsidR="00CD177A" w:rsidRPr="00BE68B5" w:rsidRDefault="00CD177A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Medzi ďalšími podmienkami</w:t>
      </w:r>
      <w:r w:rsidR="002E1C03">
        <w:rPr>
          <w:lang w:eastAsia="en-US"/>
        </w:rPr>
        <w:t xml:space="preserve"> výzvy </w:t>
      </w:r>
      <w:r>
        <w:rPr>
          <w:lang w:eastAsia="en-US"/>
        </w:rPr>
        <w:t>je nutná</w:t>
      </w:r>
      <w:r w:rsidRPr="00BE68B5">
        <w:rPr>
          <w:lang w:eastAsia="en-US"/>
        </w:rPr>
        <w:t xml:space="preserve"> účasť odvetvia schopného poskytovať bezpečnostné riešenia</w:t>
      </w:r>
      <w:r>
        <w:rPr>
          <w:lang w:eastAsia="en-US"/>
        </w:rPr>
        <w:t xml:space="preserve"> a</w:t>
      </w:r>
      <w:r w:rsidR="007313CF">
        <w:rPr>
          <w:lang w:eastAsia="en-US"/>
        </w:rPr>
        <w:t> podmienka, že</w:t>
      </w:r>
      <w:r>
        <w:rPr>
          <w:lang w:eastAsia="en-US"/>
        </w:rPr>
        <w:t xml:space="preserve"> t</w:t>
      </w:r>
      <w:r w:rsidRPr="00BE68B5">
        <w:rPr>
          <w:lang w:eastAsia="en-US"/>
        </w:rPr>
        <w:t xml:space="preserve">rvanie navrhovaných aktivít nesmie prekročiť </w:t>
      </w:r>
      <w:r w:rsidR="007313CF">
        <w:rPr>
          <w:lang w:eastAsia="en-US"/>
        </w:rPr>
        <w:t xml:space="preserve">                </w:t>
      </w:r>
      <w:r w:rsidRPr="00BE68B5">
        <w:rPr>
          <w:lang w:eastAsia="en-US"/>
        </w:rPr>
        <w:t>24 mesiacov.</w:t>
      </w:r>
      <w:r>
        <w:rPr>
          <w:lang w:eastAsia="en-US"/>
        </w:rPr>
        <w:t xml:space="preserve"> </w:t>
      </w:r>
      <w:r w:rsidRPr="00BE68B5">
        <w:rPr>
          <w:lang w:eastAsia="en-US"/>
        </w:rPr>
        <w:t>Členovia konzorcia sú povinní uzavrieť dohodu o konzorciu, v zásade pred podpisom dohody o grante.</w:t>
      </w:r>
    </w:p>
    <w:p w14:paraId="75EB938D" w14:textId="77777777" w:rsidR="007313CF" w:rsidRDefault="007313CF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4FF01E95" w14:textId="58E21FD2" w:rsidR="00A92DF8" w:rsidRDefault="00A92DF8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  <w:proofErr w:type="spellStart"/>
      <w:r>
        <w:rPr>
          <w:lang w:eastAsia="en-US"/>
        </w:rPr>
        <w:t>Konzorčnú</w:t>
      </w:r>
      <w:proofErr w:type="spellEnd"/>
      <w:r>
        <w:rPr>
          <w:lang w:eastAsia="en-US"/>
        </w:rPr>
        <w:t xml:space="preserve"> zmluvu by mali podpísať 6 partneri uvedení nižšie.</w:t>
      </w:r>
    </w:p>
    <w:p w14:paraId="05F26F7C" w14:textId="77777777" w:rsidR="00A92DF8" w:rsidRPr="00BE68B5" w:rsidRDefault="00A92DF8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49D21A69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Názov participujúcej organizácie</w:t>
      </w:r>
      <w:r w:rsidRPr="00BE68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Krajina</w:t>
      </w:r>
      <w:r w:rsidRPr="00BE68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C4C17A5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Mesto </w:t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Tatabánya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HU </w:t>
      </w:r>
    </w:p>
    <w:p w14:paraId="2E33E531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Mesto Šaľa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SK </w:t>
      </w:r>
    </w:p>
    <w:p w14:paraId="17EC50E2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Safetyart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Kft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HU </w:t>
      </w:r>
    </w:p>
    <w:p w14:paraId="5FE7BDE6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QUADRON </w:t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Kft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HU </w:t>
      </w:r>
    </w:p>
    <w:p w14:paraId="586D0B8D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Partnertech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Kft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HU </w:t>
      </w:r>
    </w:p>
    <w:p w14:paraId="6A6108BF" w14:textId="77777777" w:rsidR="00A92DF8" w:rsidRPr="00BE68B5" w:rsidRDefault="00A92DF8" w:rsidP="00A92DF8">
      <w:pPr>
        <w:tabs>
          <w:tab w:val="left" w:pos="516"/>
          <w:tab w:val="left" w:pos="4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BE68B5">
        <w:rPr>
          <w:rFonts w:ascii="Times New Roman" w:hAnsi="Times New Roman" w:cs="Times New Roman"/>
          <w:color w:val="000000"/>
          <w:sz w:val="24"/>
          <w:szCs w:val="24"/>
        </w:rPr>
        <w:t>Gamanet</w:t>
      </w:r>
      <w:proofErr w:type="spellEnd"/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 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 xml:space="preserve">s. </w:t>
      </w:r>
      <w:r w:rsidRPr="00BE68B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SK </w:t>
      </w:r>
    </w:p>
    <w:p w14:paraId="758ED50D" w14:textId="77777777" w:rsidR="00294973" w:rsidRDefault="00294973" w:rsidP="00A92DF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04D34CC" w14:textId="2C9570DD" w:rsidR="00A92DF8" w:rsidRDefault="00A92DF8" w:rsidP="00A92DF8">
      <w:pPr>
        <w:pStyle w:val="Default"/>
        <w:jc w:val="both"/>
      </w:pPr>
      <w:r w:rsidRPr="00C5303B">
        <w:rPr>
          <w:rFonts w:ascii="Times New Roman" w:hAnsi="Times New Roman" w:cs="Times New Roman"/>
          <w:color w:val="auto"/>
        </w:rPr>
        <w:lastRenderedPageBreak/>
        <w:t xml:space="preserve">Vzor </w:t>
      </w:r>
      <w:proofErr w:type="spellStart"/>
      <w:r w:rsidRPr="00C5303B">
        <w:rPr>
          <w:rFonts w:ascii="Times New Roman" w:hAnsi="Times New Roman" w:cs="Times New Roman"/>
          <w:color w:val="auto"/>
        </w:rPr>
        <w:t>konzorčnej</w:t>
      </w:r>
      <w:proofErr w:type="spellEnd"/>
      <w:r w:rsidRPr="00C5303B">
        <w:rPr>
          <w:rFonts w:ascii="Times New Roman" w:hAnsi="Times New Roman" w:cs="Times New Roman"/>
          <w:color w:val="auto"/>
        </w:rPr>
        <w:t xml:space="preserve"> zmluvy, ktor</w:t>
      </w:r>
      <w:r w:rsidR="00294973">
        <w:rPr>
          <w:rFonts w:ascii="Times New Roman" w:hAnsi="Times New Roman" w:cs="Times New Roman"/>
          <w:color w:val="auto"/>
        </w:rPr>
        <w:t>ý</w:t>
      </w:r>
      <w:r w:rsidRPr="00C5303B">
        <w:rPr>
          <w:rFonts w:ascii="Times New Roman" w:hAnsi="Times New Roman" w:cs="Times New Roman"/>
          <w:color w:val="auto"/>
        </w:rPr>
        <w:t xml:space="preserve"> bol k dispozícii len v anglickom jazyku bol dan</w:t>
      </w:r>
      <w:r w:rsidR="00294973">
        <w:rPr>
          <w:rFonts w:ascii="Times New Roman" w:hAnsi="Times New Roman" w:cs="Times New Roman"/>
          <w:color w:val="auto"/>
        </w:rPr>
        <w:t>ý</w:t>
      </w:r>
      <w:r w:rsidRPr="00C5303B">
        <w:rPr>
          <w:rFonts w:ascii="Times New Roman" w:hAnsi="Times New Roman" w:cs="Times New Roman"/>
          <w:color w:val="auto"/>
        </w:rPr>
        <w:t xml:space="preserve"> na preklad</w:t>
      </w:r>
      <w:r>
        <w:rPr>
          <w:rFonts w:ascii="Times New Roman" w:hAnsi="Times New Roman" w:cs="Times New Roman"/>
          <w:color w:val="auto"/>
        </w:rPr>
        <w:t>, tento preklad uhradí mesto Šaľa</w:t>
      </w:r>
      <w:r w:rsidRPr="00C5303B">
        <w:rPr>
          <w:rFonts w:ascii="Times New Roman" w:hAnsi="Times New Roman" w:cs="Times New Roman"/>
          <w:color w:val="auto"/>
        </w:rPr>
        <w:t>.</w:t>
      </w:r>
    </w:p>
    <w:p w14:paraId="2F3AD8A9" w14:textId="5D1D6B74" w:rsidR="00CD177A" w:rsidRPr="002E1C03" w:rsidRDefault="006F08F3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Čo sa týka výšky pomoci, vo výzve je uvedené, že K</w:t>
      </w:r>
      <w:r w:rsidR="00CD177A" w:rsidRPr="002E1C03">
        <w:rPr>
          <w:lang w:eastAsia="en-US"/>
        </w:rPr>
        <w:t>omisia sa domnieva, že návrhy, ktoré požadujú príspevok od EÚ vo výške približne 7 až 8 miliónov EUR, by umožnili primerané riešenie tejto témy. To však nevylučuje predkladanie a výber návrhov, v ktorých sa požadujú iné sumy.</w:t>
      </w:r>
      <w:r w:rsidR="00A92DF8">
        <w:rPr>
          <w:lang w:eastAsia="en-US"/>
        </w:rPr>
        <w:t xml:space="preserve"> </w:t>
      </w:r>
    </w:p>
    <w:p w14:paraId="7F96AA8D" w14:textId="2186C556" w:rsidR="00CD177A" w:rsidRPr="00BE68B5" w:rsidRDefault="006F08F3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Predpokladaný rozpočet projektu je na úrovni 4,5 mil. EUR, rozdelenie medzi partnermi by malo byť v sume 70 % mesto </w:t>
      </w:r>
      <w:proofErr w:type="spellStart"/>
      <w:r>
        <w:rPr>
          <w:lang w:eastAsia="en-US"/>
        </w:rPr>
        <w:t>Tatabánya</w:t>
      </w:r>
      <w:proofErr w:type="spellEnd"/>
      <w:r>
        <w:rPr>
          <w:lang w:eastAsia="en-US"/>
        </w:rPr>
        <w:t>, 30 % mesto Šaľa</w:t>
      </w:r>
      <w:r w:rsidR="00A92DF8">
        <w:rPr>
          <w:lang w:eastAsia="en-US"/>
        </w:rPr>
        <w:t>, teda približne 1,35 mil. EUR</w:t>
      </w:r>
      <w:r>
        <w:rPr>
          <w:lang w:eastAsia="en-US"/>
        </w:rPr>
        <w:t>.</w:t>
      </w:r>
    </w:p>
    <w:p w14:paraId="35BE5128" w14:textId="77777777" w:rsidR="007313CF" w:rsidRDefault="007313CF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55FD9A45" w14:textId="5E51084D" w:rsidR="00A92DF8" w:rsidRDefault="00CD177A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BE68B5">
        <w:rPr>
          <w:lang w:eastAsia="en-US"/>
        </w:rPr>
        <w:t>Miera pomoci</w:t>
      </w:r>
      <w:r w:rsidR="00A92DF8">
        <w:rPr>
          <w:lang w:eastAsia="en-US"/>
        </w:rPr>
        <w:t xml:space="preserve"> </w:t>
      </w:r>
      <w:r w:rsidR="00A92DF8" w:rsidRPr="00BE68B5">
        <w:rPr>
          <w:lang w:eastAsia="en-US"/>
        </w:rPr>
        <w:t xml:space="preserve">pre príjemcov (a prepojené tretie strany), ktorí sú neziskovými právnickými osobami </w:t>
      </w:r>
      <w:r w:rsidR="00A92DF8">
        <w:rPr>
          <w:lang w:eastAsia="en-US"/>
        </w:rPr>
        <w:t xml:space="preserve"> je </w:t>
      </w:r>
      <w:r w:rsidRPr="00BE68B5">
        <w:rPr>
          <w:lang w:eastAsia="en-US"/>
        </w:rPr>
        <w:t xml:space="preserve">100% oprávnených nákladov </w:t>
      </w:r>
      <w:r w:rsidR="00A92DF8">
        <w:rPr>
          <w:lang w:eastAsia="en-US"/>
        </w:rPr>
        <w:t xml:space="preserve"> a pre </w:t>
      </w:r>
      <w:r w:rsidR="00A92DF8" w:rsidRPr="00BE68B5">
        <w:rPr>
          <w:lang w:eastAsia="en-US"/>
        </w:rPr>
        <w:t>príjemcov (a prepojené tretie strany), ktorí sú zisk</w:t>
      </w:r>
      <w:r w:rsidR="00A92DF8">
        <w:rPr>
          <w:lang w:eastAsia="en-US"/>
        </w:rPr>
        <w:t>ovými</w:t>
      </w:r>
      <w:r w:rsidR="00A92DF8" w:rsidRPr="00BE68B5">
        <w:rPr>
          <w:lang w:eastAsia="en-US"/>
        </w:rPr>
        <w:t xml:space="preserve"> právnick</w:t>
      </w:r>
      <w:r w:rsidR="00052FFE">
        <w:rPr>
          <w:lang w:eastAsia="en-US"/>
        </w:rPr>
        <w:t>ými</w:t>
      </w:r>
      <w:r w:rsidR="00A92DF8" w:rsidRPr="00BE68B5">
        <w:rPr>
          <w:lang w:eastAsia="en-US"/>
        </w:rPr>
        <w:t xml:space="preserve"> os</w:t>
      </w:r>
      <w:r w:rsidR="00052FFE">
        <w:rPr>
          <w:lang w:eastAsia="en-US"/>
        </w:rPr>
        <w:t>obami</w:t>
      </w:r>
      <w:r w:rsidR="00A92DF8">
        <w:rPr>
          <w:lang w:eastAsia="en-US"/>
        </w:rPr>
        <w:t xml:space="preserve"> </w:t>
      </w:r>
      <w:r w:rsidRPr="00BE68B5">
        <w:rPr>
          <w:lang w:eastAsia="en-US"/>
        </w:rPr>
        <w:t>70% oprávnených nákladov</w:t>
      </w:r>
      <w:r w:rsidR="00A92DF8">
        <w:rPr>
          <w:lang w:eastAsia="en-US"/>
        </w:rPr>
        <w:t xml:space="preserve">. </w:t>
      </w:r>
    </w:p>
    <w:p w14:paraId="6FD67409" w14:textId="11B7065C" w:rsidR="00CD177A" w:rsidRPr="00BE68B5" w:rsidRDefault="00A92DF8" w:rsidP="00CD177A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Mesto Šaľa prejavilo záujem zapojiť sa do tohto projektu s tým, že tento projekt nevyžaduje žiadny finančný vstup, teda žiadne povinné spolufinancovanie zo strany prijímateľa.</w:t>
      </w:r>
      <w:r w:rsidR="00CD177A" w:rsidRPr="00BE68B5">
        <w:rPr>
          <w:lang w:eastAsia="en-US"/>
        </w:rPr>
        <w:t xml:space="preserve"> </w:t>
      </w:r>
    </w:p>
    <w:p w14:paraId="5E5E14C8" w14:textId="77777777" w:rsidR="007313CF" w:rsidRDefault="007313CF" w:rsidP="00505F5C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30A49755" w14:textId="613C38DB" w:rsidR="005630A9" w:rsidRPr="00A92DF8" w:rsidRDefault="00E81D18" w:rsidP="00505F5C">
      <w:pPr>
        <w:pStyle w:val="Normlnywebov"/>
        <w:spacing w:before="0" w:beforeAutospacing="0" w:after="0" w:afterAutospacing="0"/>
        <w:jc w:val="both"/>
      </w:pPr>
      <w:r w:rsidRPr="00A92DF8">
        <w:rPr>
          <w:lang w:eastAsia="en-US"/>
        </w:rPr>
        <w:t xml:space="preserve">Spracovateľ žiadosti o poskytnutie NFP </w:t>
      </w:r>
      <w:r w:rsidR="00A92DF8">
        <w:rPr>
          <w:lang w:eastAsia="en-US"/>
        </w:rPr>
        <w:t xml:space="preserve">pre mesto </w:t>
      </w:r>
      <w:proofErr w:type="spellStart"/>
      <w:r w:rsidR="00A92DF8">
        <w:rPr>
          <w:lang w:eastAsia="en-US"/>
        </w:rPr>
        <w:t>Tatabánya</w:t>
      </w:r>
      <w:proofErr w:type="spellEnd"/>
      <w:r w:rsidR="00A92DF8">
        <w:rPr>
          <w:lang w:eastAsia="en-US"/>
        </w:rPr>
        <w:t xml:space="preserve"> </w:t>
      </w:r>
      <w:r w:rsidRPr="00A92DF8">
        <w:rPr>
          <w:lang w:eastAsia="en-US"/>
        </w:rPr>
        <w:t xml:space="preserve">oslovil naše mesto s možnosťou zapojiť sa do tohto projektu s ohľadom na veľkosť </w:t>
      </w:r>
      <w:r w:rsidR="005630A9" w:rsidRPr="00A92DF8">
        <w:rPr>
          <w:lang w:eastAsia="en-US"/>
        </w:rPr>
        <w:t xml:space="preserve">nášho </w:t>
      </w:r>
      <w:r w:rsidRPr="00A92DF8">
        <w:rPr>
          <w:lang w:eastAsia="en-US"/>
        </w:rPr>
        <w:t>mesta</w:t>
      </w:r>
      <w:r w:rsidR="00244926" w:rsidRPr="00A92DF8">
        <w:rPr>
          <w:lang w:eastAsia="en-US"/>
        </w:rPr>
        <w:t xml:space="preserve"> a blízkosť regiónu.</w:t>
      </w:r>
      <w:r w:rsidRPr="00A92DF8">
        <w:rPr>
          <w:lang w:eastAsia="en-US"/>
        </w:rPr>
        <w:t xml:space="preserve"> </w:t>
      </w:r>
      <w:r w:rsidR="005630A9" w:rsidRPr="00A92DF8">
        <w:rPr>
          <w:lang w:eastAsia="en-US"/>
        </w:rPr>
        <w:t>Ponúkol možnosť implementácie nástrojov</w:t>
      </w:r>
      <w:r w:rsidR="00505F5C" w:rsidRPr="00A92DF8">
        <w:rPr>
          <w:lang w:eastAsia="en-US"/>
        </w:rPr>
        <w:t xml:space="preserve"> v oblasti zlepšenia bezpečnosti mesta</w:t>
      </w:r>
      <w:r w:rsidR="005630A9" w:rsidRPr="00A92DF8">
        <w:rPr>
          <w:lang w:eastAsia="en-US"/>
        </w:rPr>
        <w:t xml:space="preserve">, ktoré má mesto </w:t>
      </w:r>
      <w:proofErr w:type="spellStart"/>
      <w:r w:rsidR="005630A9" w:rsidRPr="00A92DF8">
        <w:rPr>
          <w:lang w:eastAsia="en-US"/>
        </w:rPr>
        <w:t>Tatabánya</w:t>
      </w:r>
      <w:proofErr w:type="spellEnd"/>
      <w:r w:rsidR="005630A9" w:rsidRPr="00A92DF8">
        <w:rPr>
          <w:lang w:eastAsia="en-US"/>
        </w:rPr>
        <w:t xml:space="preserve"> rozpracované</w:t>
      </w:r>
      <w:r w:rsidR="00505F5C" w:rsidRPr="00A92DF8">
        <w:rPr>
          <w:lang w:eastAsia="en-US"/>
        </w:rPr>
        <w:t>, konkrétne napr. kamerové systémy, poplašné systémy proti vlámaniu, protipožiarne systémy, systémy kontroly vstupu</w:t>
      </w:r>
      <w:r w:rsidR="00A92DF8" w:rsidRPr="00A92DF8">
        <w:rPr>
          <w:lang w:eastAsia="en-US"/>
        </w:rPr>
        <w:t xml:space="preserve">, </w:t>
      </w:r>
      <w:proofErr w:type="spellStart"/>
      <w:r w:rsidR="00505F5C" w:rsidRPr="00A92DF8">
        <w:rPr>
          <w:lang w:eastAsia="en-US"/>
        </w:rPr>
        <w:t>perimetrická</w:t>
      </w:r>
      <w:proofErr w:type="spellEnd"/>
      <w:r w:rsidR="00505F5C" w:rsidRPr="00A92DF8">
        <w:rPr>
          <w:lang w:eastAsia="en-US"/>
        </w:rPr>
        <w:t xml:space="preserve"> ochrana (</w:t>
      </w:r>
      <w:r w:rsidR="00505F5C" w:rsidRPr="00A92DF8">
        <w:rPr>
          <w:color w:val="0A0A0A"/>
          <w:shd w:val="clear" w:color="auto" w:fill="FEFEFE"/>
        </w:rPr>
        <w:t xml:space="preserve">slúži na detekciu narušenia vymedzených hraníc stráženého objektu), </w:t>
      </w:r>
      <w:r w:rsidR="00505F5C" w:rsidRPr="00A92DF8">
        <w:rPr>
          <w:lang w:eastAsia="en-US"/>
        </w:rPr>
        <w:t xml:space="preserve">bezpečnostné riešenia budov - ochrana verejného priestoru, kybernetická ochrana, </w:t>
      </w:r>
      <w:proofErr w:type="spellStart"/>
      <w:r w:rsidR="00505F5C" w:rsidRPr="00A92DF8">
        <w:rPr>
          <w:lang w:eastAsia="en-US"/>
        </w:rPr>
        <w:t>anti-dronové</w:t>
      </w:r>
      <w:proofErr w:type="spellEnd"/>
      <w:r w:rsidR="00505F5C" w:rsidRPr="00A92DF8">
        <w:rPr>
          <w:lang w:eastAsia="en-US"/>
        </w:rPr>
        <w:t xml:space="preserve"> systémy.</w:t>
      </w:r>
    </w:p>
    <w:p w14:paraId="471AE83F" w14:textId="06FFF700" w:rsidR="005630A9" w:rsidRPr="00A92DF8" w:rsidRDefault="00505F5C" w:rsidP="00E81D18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A92DF8">
        <w:rPr>
          <w:lang w:eastAsia="en-US"/>
        </w:rPr>
        <w:t>Mesto Šaľa má záujem nadviazať na aktivity naplánované v rámci projektu predkladaného cez výzvu OPII, Moderné technológie – Šaľa na ceste SMART. V tejto súvislosti zaslalo nasledovné oblasti na posúdenie</w:t>
      </w:r>
      <w:r w:rsidR="0000400C" w:rsidRPr="00A92DF8">
        <w:rPr>
          <w:lang w:eastAsia="en-US"/>
        </w:rPr>
        <w:t xml:space="preserve"> možnej</w:t>
      </w:r>
      <w:r w:rsidRPr="00A92DF8">
        <w:rPr>
          <w:lang w:eastAsia="en-US"/>
        </w:rPr>
        <w:t xml:space="preserve"> implementácie do projektu</w:t>
      </w:r>
      <w:r w:rsidR="00A92DF8">
        <w:rPr>
          <w:lang w:eastAsia="en-US"/>
        </w:rPr>
        <w:t xml:space="preserve"> v rámci HORIZON 2020</w:t>
      </w:r>
      <w:r w:rsidRPr="00A92DF8">
        <w:rPr>
          <w:lang w:eastAsia="en-US"/>
        </w:rPr>
        <w:t>:</w:t>
      </w:r>
    </w:p>
    <w:p w14:paraId="20E9FAE5" w14:textId="0FDB75BB" w:rsidR="00505F5C" w:rsidRPr="00A92DF8" w:rsidRDefault="00505F5C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 w:rsidRPr="00A92DF8">
        <w:rPr>
          <w:lang w:eastAsia="en-US"/>
        </w:rPr>
        <w:t>vybavenie vozidiel MsP inteligentnými kamerami na rozpoznávanie tvárí</w:t>
      </w:r>
      <w:r w:rsidR="0000400C" w:rsidRPr="00A92DF8">
        <w:rPr>
          <w:lang w:eastAsia="en-US"/>
        </w:rPr>
        <w:t xml:space="preserve">, </w:t>
      </w:r>
    </w:p>
    <w:p w14:paraId="49385559" w14:textId="7F5356C3" w:rsidR="0000400C" w:rsidRDefault="0000400C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>vybavenie vozidiel MsP ozónovými čističmi pre prípad pandémie</w:t>
      </w:r>
    </w:p>
    <w:p w14:paraId="5A11A93E" w14:textId="122F152B" w:rsidR="00505F5C" w:rsidRDefault="0000400C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 xml:space="preserve">nákup vybavenia pre dobrovoľný hasičský zbor – motorový čln, zásahové odevy, vybavenie na záchranu života, </w:t>
      </w:r>
      <w:proofErr w:type="spellStart"/>
      <w:r>
        <w:rPr>
          <w:lang w:eastAsia="en-US"/>
        </w:rPr>
        <w:t>termokamer</w:t>
      </w:r>
      <w:r w:rsidR="00A92DF8">
        <w:rPr>
          <w:lang w:eastAsia="en-US"/>
        </w:rPr>
        <w:t>y</w:t>
      </w:r>
      <w:proofErr w:type="spellEnd"/>
      <w:r>
        <w:rPr>
          <w:lang w:eastAsia="en-US"/>
        </w:rPr>
        <w:t xml:space="preserve"> atď.</w:t>
      </w:r>
    </w:p>
    <w:p w14:paraId="1103D901" w14:textId="73A1D9FF" w:rsidR="0000400C" w:rsidRDefault="0000400C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 xml:space="preserve">vybavenie všetkých verejných objektov </w:t>
      </w:r>
      <w:r w:rsidR="00832599">
        <w:rPr>
          <w:lang w:eastAsia="en-US"/>
        </w:rPr>
        <w:t>vybavením na záchranu života (v prípade získania dotácie z NSK, bude vylúčený pre zamedzenie duplicity nákup defibrilátorov na objekty pokryté z projektu NSK)</w:t>
      </w:r>
    </w:p>
    <w:p w14:paraId="2334F643" w14:textId="0C0FD446" w:rsidR="00832599" w:rsidRDefault="00832599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>pre navigovanie bezpečnostných zložiek modernizácia verejného osvetlenia na hlavných dopravných ťahoch v meste (projekt</w:t>
      </w:r>
      <w:r w:rsidR="00A92DF8">
        <w:rPr>
          <w:lang w:eastAsia="en-US"/>
        </w:rPr>
        <w:t xml:space="preserve"> 1. etapy modernizácie VO spolufinancovaný z </w:t>
      </w:r>
      <w:r>
        <w:rPr>
          <w:lang w:eastAsia="en-US"/>
        </w:rPr>
        <w:t xml:space="preserve"> EÚ končí 31.8.2020 resp. dátumom schválenia 5. následnej monitorovacej správy odoslanej 10.8.2020, podľa toho, čo nastane neskôr) – inštalovanie </w:t>
      </w:r>
      <w:r w:rsidR="00A92DF8">
        <w:rPr>
          <w:lang w:eastAsia="en-US"/>
        </w:rPr>
        <w:t xml:space="preserve">inteligentných </w:t>
      </w:r>
      <w:r>
        <w:rPr>
          <w:lang w:eastAsia="en-US"/>
        </w:rPr>
        <w:t>svietidiel s možnosťou zmeny farby, resp. blikania</w:t>
      </w:r>
      <w:r w:rsidR="00A92DF8">
        <w:rPr>
          <w:lang w:eastAsia="en-US"/>
        </w:rPr>
        <w:t xml:space="preserve"> z operačného strediska</w:t>
      </w:r>
      <w:r>
        <w:rPr>
          <w:lang w:eastAsia="en-US"/>
        </w:rPr>
        <w:t>.</w:t>
      </w:r>
    </w:p>
    <w:p w14:paraId="57C115D9" w14:textId="5F1C0981" w:rsidR="00832599" w:rsidRDefault="00A92DF8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>o</w:t>
      </w:r>
      <w:r w:rsidR="00832599">
        <w:rPr>
          <w:lang w:eastAsia="en-US"/>
        </w:rPr>
        <w:t xml:space="preserve">statné aktivity -  v zmysle implementácie opatrení navrhnutých mestom </w:t>
      </w:r>
      <w:proofErr w:type="spellStart"/>
      <w:r w:rsidR="00832599">
        <w:rPr>
          <w:lang w:eastAsia="en-US"/>
        </w:rPr>
        <w:t>Tatabánya</w:t>
      </w:r>
      <w:proofErr w:type="spellEnd"/>
      <w:r w:rsidR="00832599">
        <w:rPr>
          <w:lang w:eastAsia="en-US"/>
        </w:rPr>
        <w:t xml:space="preserve"> na ochranu objektov – protipožiarne, poplašné systémy proti vlámaniu</w:t>
      </w:r>
      <w:r>
        <w:rPr>
          <w:lang w:eastAsia="en-US"/>
        </w:rPr>
        <w:t>, kontrola riadenia dopravy atď.</w:t>
      </w:r>
    </w:p>
    <w:p w14:paraId="51A58828" w14:textId="4D80D5CB" w:rsidR="005D56B9" w:rsidRPr="00BE68B5" w:rsidRDefault="005D56B9" w:rsidP="00A92DF8">
      <w:pPr>
        <w:pStyle w:val="Normlnywebov"/>
        <w:numPr>
          <w:ilvl w:val="0"/>
          <w:numId w:val="24"/>
        </w:numPr>
        <w:spacing w:before="0" w:beforeAutospacing="0" w:after="0" w:afterAutospacing="0"/>
        <w:ind w:left="426"/>
        <w:jc w:val="both"/>
        <w:rPr>
          <w:lang w:eastAsia="en-US"/>
        </w:rPr>
      </w:pPr>
      <w:r>
        <w:rPr>
          <w:lang w:eastAsia="en-US"/>
        </w:rPr>
        <w:t>vytvorenie operačného strediska – integrujúc v sebe nielen monitorovanie kamerového systému, ale aj hlásenia z prevádzky infraštruktúry mesta.</w:t>
      </w:r>
    </w:p>
    <w:p w14:paraId="37BB64CE" w14:textId="39ADE44C" w:rsidR="005D56B9" w:rsidRDefault="005D56B9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2FF64C94" w14:textId="77777777" w:rsidR="007313CF" w:rsidRDefault="00A92DF8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Ako je uvedené vo výzve, oprávnené činnosti - v</w:t>
      </w:r>
      <w:r w:rsidRPr="00BE68B5">
        <w:rPr>
          <w:lang w:eastAsia="en-US"/>
        </w:rPr>
        <w:t xml:space="preserve"> roku 2020 by sa pri súčasnom zachovaní rozsahu hodnotenia rizík, prevencie, odhaľovania, reakcie a zmierňovania následkov mali </w:t>
      </w:r>
      <w:r w:rsidRPr="00A42492">
        <w:rPr>
          <w:lang w:eastAsia="en-US"/>
        </w:rPr>
        <w:t>návrhy zamerať aj na vzájomné vzťahy medzi rôznymi typmi kritickej infraštruktúry s cieľom</w:t>
      </w:r>
      <w:r w:rsidRPr="00BE68B5">
        <w:rPr>
          <w:lang w:eastAsia="en-US"/>
        </w:rPr>
        <w:t xml:space="preserve"> vyvinúť nástroje a metódy na minimalizáciu kaskádových účinkov a umožniť rýchle obnovenie úrovne výkonnosti služieb po mimoriadnych udalostiach.</w:t>
      </w:r>
      <w:r>
        <w:rPr>
          <w:lang w:eastAsia="en-US"/>
        </w:rPr>
        <w:t xml:space="preserve"> </w:t>
      </w:r>
    </w:p>
    <w:p w14:paraId="5C90610A" w14:textId="77777777" w:rsidR="007313CF" w:rsidRDefault="007313CF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41A24152" w14:textId="77777777" w:rsidR="006E5A2A" w:rsidRDefault="006E5A2A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34DD514D" w14:textId="16E4A4BB" w:rsidR="00A92DF8" w:rsidRPr="005D56B9" w:rsidRDefault="00A92DF8" w:rsidP="00A92DF8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5D56B9">
        <w:rPr>
          <w:lang w:eastAsia="en-US"/>
        </w:rPr>
        <w:lastRenderedPageBreak/>
        <w:t>Projekty by mali:</w:t>
      </w:r>
    </w:p>
    <w:p w14:paraId="2984D84E" w14:textId="77777777" w:rsidR="00A92DF8" w:rsidRPr="005D56B9" w:rsidRDefault="00A92DF8" w:rsidP="00A92DF8">
      <w:pPr>
        <w:pStyle w:val="Normlnywebov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5D56B9">
        <w:rPr>
          <w:lang w:eastAsia="en-US"/>
        </w:rPr>
        <w:t>podrobne posúdiť všetky aspekty vzájomne závislých fyzických prvkov (napr. bombardovanie, sabotáž a útoky rôznymi zbraňami proti zariadeniam, budovám a lodiam; prelety a havárie lietadiel alebo robotov; šírenie požiarov, záplav, zosuvov pôdy, katastrofálne následky globálneho otepľovania, seizmická aktivita, vesmírne počasie, kombinované hrozby atď.) a počítačové hrozby a incidenty (napr. porucha systému SCADA, neautorizovaný prístup k serveru, elektronické rušenie, distribuované útoky) a kaskádové riziká vyplývajúce z takýchto komplexných hrozieb,</w:t>
      </w:r>
    </w:p>
    <w:p w14:paraId="686B004D" w14:textId="77777777" w:rsidR="00A92DF8" w:rsidRPr="005D56B9" w:rsidRDefault="00A92DF8" w:rsidP="00A92DF8">
      <w:pPr>
        <w:pStyle w:val="Normlnywebov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5D56B9">
        <w:rPr>
          <w:lang w:eastAsia="en-US"/>
        </w:rPr>
        <w:t>demonštrovať presnosť svojho prístupu k hodnoteniu rizika pomocou konkrétnych príkladov a scenárov skutočného života a porovnaním výsledkov s inými metodikami hodnotenia rizika,</w:t>
      </w:r>
    </w:p>
    <w:p w14:paraId="6BF76D40" w14:textId="77777777" w:rsidR="00A92DF8" w:rsidRPr="005D56B9" w:rsidRDefault="00A92DF8" w:rsidP="00A92DF8">
      <w:pPr>
        <w:pStyle w:val="Normlnywebov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5D56B9">
        <w:rPr>
          <w:lang w:eastAsia="en-US"/>
        </w:rPr>
        <w:t>rozvíjať lepšie riadenie fyzických a počítačových hrozieb v reálnom čase, založené na dôkazoch, so zreteľom na starnutie existujúcej infraštruktúry a</w:t>
      </w:r>
    </w:p>
    <w:p w14:paraId="0E2723F1" w14:textId="77777777" w:rsidR="00A92DF8" w:rsidRPr="005D56B9" w:rsidRDefault="00A92DF8" w:rsidP="00A92DF8">
      <w:pPr>
        <w:pStyle w:val="Normlnywebov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5D56B9">
        <w:rPr>
          <w:lang w:eastAsia="en-US"/>
        </w:rPr>
        <w:t>poskytnúť scenáre a odporúčania pre plánovanie politiky, zapojenie občianskej spoločnosti a investičné opatrenia zahŕňajúce všetky aspekty zmierňovania prevencie, zisťovania a reakcie;</w:t>
      </w:r>
    </w:p>
    <w:p w14:paraId="0E9A996A" w14:textId="77777777" w:rsidR="00A92DF8" w:rsidRPr="005D56B9" w:rsidRDefault="00A92DF8" w:rsidP="00A92DF8">
      <w:pPr>
        <w:pStyle w:val="Normlnywebov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5D56B9">
        <w:rPr>
          <w:lang w:eastAsia="en-US"/>
        </w:rPr>
        <w:t>mali by sa navrhnúť inovatívne metódy na zdieľanie informácií s verejnosťou v blízkosti zariadení - a to aj prostredníctvom sociálnych médií a so zapojením organizácií občianskej spoločnosti - na ochranu prvých respondentov, ako sú záchranné tímy, bezpečnostné tímy a monitorovacie tímy, a na zabezpečenie kontinuity služieb.</w:t>
      </w:r>
    </w:p>
    <w:p w14:paraId="487B53C1" w14:textId="157BF986" w:rsidR="00BE68B5" w:rsidRPr="00BE68B5" w:rsidRDefault="00BE68B5" w:rsidP="00CD177A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E68B5">
        <w:rPr>
          <w:rFonts w:ascii="Times New Roman" w:eastAsia="Times New Roman" w:hAnsi="Times New Roman" w:cs="Times New Roman"/>
          <w:color w:val="777777"/>
          <w:sz w:val="24"/>
          <w:szCs w:val="24"/>
          <w:lang w:eastAsia="sk-SK"/>
        </w:rPr>
        <w:br/>
      </w:r>
    </w:p>
    <w:sectPr w:rsidR="00BE68B5" w:rsidRPr="00BE68B5" w:rsidSect="00FF2873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10C89" w14:textId="77777777" w:rsidR="00EE7AE7" w:rsidRDefault="00EE7AE7" w:rsidP="00A92DF8">
      <w:pPr>
        <w:spacing w:after="0" w:line="240" w:lineRule="auto"/>
      </w:pPr>
      <w:r>
        <w:separator/>
      </w:r>
    </w:p>
  </w:endnote>
  <w:endnote w:type="continuationSeparator" w:id="0">
    <w:p w14:paraId="656824CD" w14:textId="77777777" w:rsidR="00EE7AE7" w:rsidRDefault="00EE7AE7" w:rsidP="00A9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692323"/>
      <w:docPartObj>
        <w:docPartGallery w:val="Page Numbers (Bottom of Page)"/>
        <w:docPartUnique/>
      </w:docPartObj>
    </w:sdtPr>
    <w:sdtEndPr/>
    <w:sdtContent>
      <w:p w14:paraId="569C1B98" w14:textId="26A31E68" w:rsidR="00A92DF8" w:rsidRDefault="00A92DF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5CC">
          <w:rPr>
            <w:noProof/>
          </w:rPr>
          <w:t>2</w:t>
        </w:r>
        <w:r>
          <w:fldChar w:fldCharType="end"/>
        </w:r>
      </w:p>
    </w:sdtContent>
  </w:sdt>
  <w:p w14:paraId="104D3672" w14:textId="77777777" w:rsidR="00A92DF8" w:rsidRDefault="00A92DF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110BA" w14:textId="77777777" w:rsidR="00EE7AE7" w:rsidRDefault="00EE7AE7" w:rsidP="00A92DF8">
      <w:pPr>
        <w:spacing w:after="0" w:line="240" w:lineRule="auto"/>
      </w:pPr>
      <w:r>
        <w:separator/>
      </w:r>
    </w:p>
  </w:footnote>
  <w:footnote w:type="continuationSeparator" w:id="0">
    <w:p w14:paraId="5DB6EB21" w14:textId="77777777" w:rsidR="00EE7AE7" w:rsidRDefault="00EE7AE7" w:rsidP="00A9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3207"/>
    <w:multiLevelType w:val="hybridMultilevel"/>
    <w:tmpl w:val="F45613DC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553"/>
    <w:multiLevelType w:val="hybridMultilevel"/>
    <w:tmpl w:val="9182C234"/>
    <w:lvl w:ilvl="0" w:tplc="198428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B0C83"/>
    <w:multiLevelType w:val="hybridMultilevel"/>
    <w:tmpl w:val="B622E45A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0A0FED"/>
    <w:multiLevelType w:val="hybridMultilevel"/>
    <w:tmpl w:val="3F26E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47304"/>
    <w:multiLevelType w:val="hybridMultilevel"/>
    <w:tmpl w:val="265E67CA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556853"/>
    <w:multiLevelType w:val="hybridMultilevel"/>
    <w:tmpl w:val="D2AA5A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27235"/>
    <w:multiLevelType w:val="hybridMultilevel"/>
    <w:tmpl w:val="5136F632"/>
    <w:lvl w:ilvl="0" w:tplc="6EAAF0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A4E45"/>
    <w:multiLevelType w:val="hybridMultilevel"/>
    <w:tmpl w:val="8F16A6A8"/>
    <w:lvl w:ilvl="0" w:tplc="198428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11FA5"/>
    <w:multiLevelType w:val="hybridMultilevel"/>
    <w:tmpl w:val="7EB088C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ADE6F8D"/>
    <w:multiLevelType w:val="hybridMultilevel"/>
    <w:tmpl w:val="5D12FA04"/>
    <w:lvl w:ilvl="0" w:tplc="D5C20C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F545E"/>
    <w:multiLevelType w:val="hybridMultilevel"/>
    <w:tmpl w:val="CA20DD94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FAD3F46"/>
    <w:multiLevelType w:val="hybridMultilevel"/>
    <w:tmpl w:val="21D442A4"/>
    <w:lvl w:ilvl="0" w:tplc="D5084D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F1D03"/>
    <w:multiLevelType w:val="hybridMultilevel"/>
    <w:tmpl w:val="98CC6E9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5646874"/>
    <w:multiLevelType w:val="hybridMultilevel"/>
    <w:tmpl w:val="F8C09CBC"/>
    <w:lvl w:ilvl="0" w:tplc="D2964ED4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5" w15:restartNumberingAfterBreak="0">
    <w:nsid w:val="365C32B0"/>
    <w:multiLevelType w:val="hybridMultilevel"/>
    <w:tmpl w:val="946EA44C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F526138"/>
    <w:multiLevelType w:val="hybridMultilevel"/>
    <w:tmpl w:val="CC3CAB80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EEA1F4D"/>
    <w:multiLevelType w:val="hybridMultilevel"/>
    <w:tmpl w:val="9E8A9730"/>
    <w:lvl w:ilvl="0" w:tplc="E6D4D8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C0B9D"/>
    <w:multiLevelType w:val="hybridMultilevel"/>
    <w:tmpl w:val="6040FE16"/>
    <w:lvl w:ilvl="0" w:tplc="D91A6EA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938B3"/>
    <w:multiLevelType w:val="hybridMultilevel"/>
    <w:tmpl w:val="E4F2A68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DE61C94"/>
    <w:multiLevelType w:val="hybridMultilevel"/>
    <w:tmpl w:val="0CB6E8FC"/>
    <w:lvl w:ilvl="0" w:tplc="55FE5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61013E"/>
    <w:multiLevelType w:val="hybridMultilevel"/>
    <w:tmpl w:val="0364720A"/>
    <w:lvl w:ilvl="0" w:tplc="243A13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1E53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602D39"/>
    <w:multiLevelType w:val="hybridMultilevel"/>
    <w:tmpl w:val="1C14B13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BD755FD"/>
    <w:multiLevelType w:val="hybridMultilevel"/>
    <w:tmpl w:val="DCC4FBFA"/>
    <w:lvl w:ilvl="0" w:tplc="B5E234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64A33"/>
    <w:multiLevelType w:val="hybridMultilevel"/>
    <w:tmpl w:val="7CA65C72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8F5CAF"/>
    <w:multiLevelType w:val="hybridMultilevel"/>
    <w:tmpl w:val="BDA4C334"/>
    <w:lvl w:ilvl="0" w:tplc="198428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1"/>
  </w:num>
  <w:num w:numId="4">
    <w:abstractNumId w:val="20"/>
  </w:num>
  <w:num w:numId="5">
    <w:abstractNumId w:val="7"/>
  </w:num>
  <w:num w:numId="6">
    <w:abstractNumId w:val="4"/>
  </w:num>
  <w:num w:numId="7">
    <w:abstractNumId w:val="8"/>
  </w:num>
  <w:num w:numId="8">
    <w:abstractNumId w:val="25"/>
  </w:num>
  <w:num w:numId="9">
    <w:abstractNumId w:val="2"/>
  </w:num>
  <w:num w:numId="10">
    <w:abstractNumId w:val="24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22"/>
  </w:num>
  <w:num w:numId="16">
    <w:abstractNumId w:val="9"/>
  </w:num>
  <w:num w:numId="17">
    <w:abstractNumId w:val="3"/>
  </w:num>
  <w:num w:numId="18">
    <w:abstractNumId w:val="11"/>
  </w:num>
  <w:num w:numId="19">
    <w:abstractNumId w:val="19"/>
  </w:num>
  <w:num w:numId="20">
    <w:abstractNumId w:val="13"/>
  </w:num>
  <w:num w:numId="21">
    <w:abstractNumId w:val="12"/>
  </w:num>
  <w:num w:numId="22">
    <w:abstractNumId w:val="10"/>
  </w:num>
  <w:num w:numId="23">
    <w:abstractNumId w:val="18"/>
  </w:num>
  <w:num w:numId="24">
    <w:abstractNumId w:val="23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9B"/>
    <w:rsid w:val="0000400C"/>
    <w:rsid w:val="00005995"/>
    <w:rsid w:val="000359FE"/>
    <w:rsid w:val="000503C8"/>
    <w:rsid w:val="00052FFE"/>
    <w:rsid w:val="0007210E"/>
    <w:rsid w:val="00081C5D"/>
    <w:rsid w:val="000C77F5"/>
    <w:rsid w:val="000F290D"/>
    <w:rsid w:val="00143F3B"/>
    <w:rsid w:val="001527F2"/>
    <w:rsid w:val="00193158"/>
    <w:rsid w:val="001C5F45"/>
    <w:rsid w:val="001F739E"/>
    <w:rsid w:val="00244926"/>
    <w:rsid w:val="002528E5"/>
    <w:rsid w:val="00274037"/>
    <w:rsid w:val="00293AD3"/>
    <w:rsid w:val="00294973"/>
    <w:rsid w:val="002A6128"/>
    <w:rsid w:val="002A6E0B"/>
    <w:rsid w:val="002E1C03"/>
    <w:rsid w:val="003014CA"/>
    <w:rsid w:val="003520B5"/>
    <w:rsid w:val="00357AFB"/>
    <w:rsid w:val="00376507"/>
    <w:rsid w:val="003B5011"/>
    <w:rsid w:val="003C15C8"/>
    <w:rsid w:val="00425CB8"/>
    <w:rsid w:val="00431C2D"/>
    <w:rsid w:val="00442F6B"/>
    <w:rsid w:val="00454A18"/>
    <w:rsid w:val="004F1BC7"/>
    <w:rsid w:val="004F1CD1"/>
    <w:rsid w:val="00505F5C"/>
    <w:rsid w:val="00511693"/>
    <w:rsid w:val="005140F9"/>
    <w:rsid w:val="00533C2F"/>
    <w:rsid w:val="00540D9D"/>
    <w:rsid w:val="005630A9"/>
    <w:rsid w:val="00565DE4"/>
    <w:rsid w:val="005675CC"/>
    <w:rsid w:val="005D56B9"/>
    <w:rsid w:val="005E3B3E"/>
    <w:rsid w:val="00627D53"/>
    <w:rsid w:val="006373A8"/>
    <w:rsid w:val="006702F5"/>
    <w:rsid w:val="006729D5"/>
    <w:rsid w:val="006A72E1"/>
    <w:rsid w:val="006E0F30"/>
    <w:rsid w:val="006E5A2A"/>
    <w:rsid w:val="006F08F3"/>
    <w:rsid w:val="007148A8"/>
    <w:rsid w:val="00724EE1"/>
    <w:rsid w:val="007313CF"/>
    <w:rsid w:val="00795B34"/>
    <w:rsid w:val="007B7BBE"/>
    <w:rsid w:val="007C4F22"/>
    <w:rsid w:val="007C5886"/>
    <w:rsid w:val="007F7F8A"/>
    <w:rsid w:val="008065F6"/>
    <w:rsid w:val="00832599"/>
    <w:rsid w:val="008365C2"/>
    <w:rsid w:val="00880A05"/>
    <w:rsid w:val="008B31FE"/>
    <w:rsid w:val="008F1E61"/>
    <w:rsid w:val="0093236F"/>
    <w:rsid w:val="00937859"/>
    <w:rsid w:val="00993B9F"/>
    <w:rsid w:val="009A43E2"/>
    <w:rsid w:val="009D4E76"/>
    <w:rsid w:val="00A22C44"/>
    <w:rsid w:val="00A42492"/>
    <w:rsid w:val="00A602CC"/>
    <w:rsid w:val="00A608E3"/>
    <w:rsid w:val="00A75327"/>
    <w:rsid w:val="00A92DF8"/>
    <w:rsid w:val="00AA2CB2"/>
    <w:rsid w:val="00AA3572"/>
    <w:rsid w:val="00B57C9B"/>
    <w:rsid w:val="00B728BF"/>
    <w:rsid w:val="00B86777"/>
    <w:rsid w:val="00B9282B"/>
    <w:rsid w:val="00B94419"/>
    <w:rsid w:val="00BC323E"/>
    <w:rsid w:val="00BD2426"/>
    <w:rsid w:val="00BE11D4"/>
    <w:rsid w:val="00BE68B5"/>
    <w:rsid w:val="00BF5606"/>
    <w:rsid w:val="00C46880"/>
    <w:rsid w:val="00C5303B"/>
    <w:rsid w:val="00C62AD6"/>
    <w:rsid w:val="00C76619"/>
    <w:rsid w:val="00CD177A"/>
    <w:rsid w:val="00CF7964"/>
    <w:rsid w:val="00D7272E"/>
    <w:rsid w:val="00DF2923"/>
    <w:rsid w:val="00E108C5"/>
    <w:rsid w:val="00E520DC"/>
    <w:rsid w:val="00E52616"/>
    <w:rsid w:val="00E71800"/>
    <w:rsid w:val="00E81D18"/>
    <w:rsid w:val="00EE7AE7"/>
    <w:rsid w:val="00F17135"/>
    <w:rsid w:val="00F24663"/>
    <w:rsid w:val="00F50AFE"/>
    <w:rsid w:val="00F528FB"/>
    <w:rsid w:val="00F56FD1"/>
    <w:rsid w:val="00F61E74"/>
    <w:rsid w:val="00F62E9E"/>
    <w:rsid w:val="00FD2FD8"/>
    <w:rsid w:val="00FE1EF4"/>
    <w:rsid w:val="00FE40EA"/>
    <w:rsid w:val="00FF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4CB"/>
  <w15:chartTrackingRefBased/>
  <w15:docId w15:val="{FA5607FE-E09E-48B7-8648-A9BD67D4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C5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31C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57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C58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C58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C5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C588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7C58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588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7C5886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C5886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C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8A8"/>
    <w:rPr>
      <w:rFonts w:ascii="Segoe UI" w:hAnsi="Segoe UI" w:cs="Segoe UI"/>
      <w:sz w:val="18"/>
      <w:szCs w:val="18"/>
    </w:rPr>
  </w:style>
  <w:style w:type="paragraph" w:customStyle="1" w:styleId="Normlny1">
    <w:name w:val="Normálny1"/>
    <w:rsid w:val="00795B3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795B34"/>
    <w:rPr>
      <w:rFonts w:ascii="Calibri" w:hAnsi="Calibri" w:cs="Times New Roman"/>
    </w:rPr>
  </w:style>
  <w:style w:type="paragraph" w:customStyle="1" w:styleId="Style43">
    <w:name w:val="Style43"/>
    <w:basedOn w:val="Normlny"/>
    <w:uiPriority w:val="99"/>
    <w:rsid w:val="0079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431C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textovprepojenie">
    <w:name w:val="Hyperlink"/>
    <w:basedOn w:val="Predvolenpsmoodseku"/>
    <w:uiPriority w:val="99"/>
    <w:semiHidden/>
    <w:unhideWhenUsed/>
    <w:rsid w:val="00431C2D"/>
    <w:rPr>
      <w:color w:val="0000FF"/>
      <w:u w:val="single"/>
    </w:rPr>
  </w:style>
  <w:style w:type="character" w:customStyle="1" w:styleId="tlid-translation">
    <w:name w:val="tlid-translation"/>
    <w:basedOn w:val="Predvolenpsmoodseku"/>
    <w:rsid w:val="00BE68B5"/>
  </w:style>
  <w:style w:type="paragraph" w:styleId="Hlavika">
    <w:name w:val="header"/>
    <w:basedOn w:val="Normlny"/>
    <w:link w:val="HlavikaChar"/>
    <w:uiPriority w:val="99"/>
    <w:unhideWhenUsed/>
    <w:rsid w:val="00A9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2DF8"/>
  </w:style>
  <w:style w:type="paragraph" w:styleId="Pta">
    <w:name w:val="footer"/>
    <w:basedOn w:val="Normlny"/>
    <w:link w:val="PtaChar"/>
    <w:uiPriority w:val="99"/>
    <w:unhideWhenUsed/>
    <w:rsid w:val="00A9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2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5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20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5399519">
          <w:marLeft w:val="2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3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0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9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5930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57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483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522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262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284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single" w:sz="6" w:space="4" w:color="D8DCE2"/>
                <w:right w:val="none" w:sz="0" w:space="0" w:color="auto"/>
              </w:divBdr>
              <w:divsChild>
                <w:div w:id="2045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124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5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8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5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3257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66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3952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8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1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8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15764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87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64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1990/369/202005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24</cp:revision>
  <cp:lastPrinted>2020-08-11T08:49:00Z</cp:lastPrinted>
  <dcterms:created xsi:type="dcterms:W3CDTF">2020-08-10T10:35:00Z</dcterms:created>
  <dcterms:modified xsi:type="dcterms:W3CDTF">2020-08-11T08:49:00Z</dcterms:modified>
</cp:coreProperties>
</file>