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D5B12" w14:textId="77777777" w:rsidR="00F42637" w:rsidRPr="00D758FA" w:rsidRDefault="00AB3B34" w:rsidP="002229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 xml:space="preserve">ODBORNÉ </w:t>
      </w:r>
      <w:r w:rsidR="00F42637" w:rsidRPr="00D758FA">
        <w:rPr>
          <w:rFonts w:ascii="Times New Roman" w:hAnsi="Times New Roman" w:cs="Times New Roman"/>
          <w:b/>
          <w:sz w:val="24"/>
          <w:szCs w:val="24"/>
        </w:rPr>
        <w:t>STANOVISKO</w:t>
      </w:r>
    </w:p>
    <w:p w14:paraId="52DB898B" w14:textId="77777777" w:rsidR="00F42637" w:rsidRPr="00D758FA" w:rsidRDefault="00F42637" w:rsidP="002229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>HLAVNEJ KONTROLÓRKY K</w:t>
      </w:r>
      <w:r w:rsidR="00D60B3E" w:rsidRPr="00D758FA">
        <w:rPr>
          <w:rFonts w:ascii="Times New Roman" w:hAnsi="Times New Roman" w:cs="Times New Roman"/>
          <w:b/>
          <w:sz w:val="24"/>
          <w:szCs w:val="24"/>
        </w:rPr>
        <w:t xml:space="preserve"> NÁVRHU </w:t>
      </w:r>
      <w:r w:rsidR="00183845" w:rsidRPr="00D758FA">
        <w:rPr>
          <w:rFonts w:ascii="Times New Roman" w:hAnsi="Times New Roman" w:cs="Times New Roman"/>
          <w:b/>
          <w:sz w:val="24"/>
          <w:szCs w:val="24"/>
        </w:rPr>
        <w:t>ZÁVEREČNÉHO</w:t>
      </w:r>
      <w:r w:rsidRPr="00D758FA">
        <w:rPr>
          <w:rFonts w:ascii="Times New Roman" w:hAnsi="Times New Roman" w:cs="Times New Roman"/>
          <w:b/>
          <w:sz w:val="24"/>
          <w:szCs w:val="24"/>
        </w:rPr>
        <w:t xml:space="preserve"> ÚČTU MESTA ŠAĽA</w:t>
      </w:r>
    </w:p>
    <w:p w14:paraId="4B3888B0" w14:textId="2D01B1A5" w:rsidR="00F42637" w:rsidRPr="00D758FA" w:rsidRDefault="00B85016" w:rsidP="002229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>ZA ROK 202</w:t>
      </w:r>
      <w:r w:rsidR="009776CE" w:rsidRPr="00D758FA">
        <w:rPr>
          <w:rFonts w:ascii="Times New Roman" w:hAnsi="Times New Roman" w:cs="Times New Roman"/>
          <w:b/>
          <w:sz w:val="24"/>
          <w:szCs w:val="24"/>
        </w:rPr>
        <w:t>2</w:t>
      </w:r>
    </w:p>
    <w:p w14:paraId="52E0B70E" w14:textId="77777777" w:rsidR="00F42637" w:rsidRPr="00D758FA" w:rsidRDefault="00F42637" w:rsidP="00222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9F612" w14:textId="13F31790" w:rsidR="00183845" w:rsidRPr="00D758FA" w:rsidRDefault="00183845" w:rsidP="00B4491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V súlade s</w:t>
      </w:r>
      <w:r w:rsidR="00F42637" w:rsidRPr="00D758FA">
        <w:rPr>
          <w:rFonts w:ascii="Times New Roman" w:hAnsi="Times New Roman" w:cs="Times New Roman"/>
          <w:sz w:val="24"/>
          <w:szCs w:val="24"/>
        </w:rPr>
        <w:t xml:space="preserve"> § 18f ods. 1 písm. c) zákona č. 369/1990 Zb. o obecnom zriade</w:t>
      </w:r>
      <w:r w:rsidRPr="00D758FA">
        <w:rPr>
          <w:rFonts w:ascii="Times New Roman" w:hAnsi="Times New Roman" w:cs="Times New Roman"/>
          <w:sz w:val="24"/>
          <w:szCs w:val="24"/>
        </w:rPr>
        <w:t>ní</w:t>
      </w:r>
    </w:p>
    <w:p w14:paraId="499E5FF5" w14:textId="6FDBB79E" w:rsidR="00183845" w:rsidRPr="00D758FA" w:rsidRDefault="00183845" w:rsidP="00B4491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p</w:t>
      </w:r>
      <w:r w:rsidR="00F42637" w:rsidRPr="00D758FA">
        <w:rPr>
          <w:rFonts w:ascii="Times New Roman" w:hAnsi="Times New Roman" w:cs="Times New Roman"/>
          <w:sz w:val="24"/>
          <w:szCs w:val="24"/>
        </w:rPr>
        <w:t>redkladám</w:t>
      </w:r>
    </w:p>
    <w:p w14:paraId="5BD417AA" w14:textId="2C8AF989" w:rsidR="00F42637" w:rsidRPr="00D758FA" w:rsidRDefault="00F42637" w:rsidP="0018384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odborné stanovisko k</w:t>
      </w:r>
      <w:r w:rsidR="0035220D" w:rsidRPr="00D758FA">
        <w:rPr>
          <w:rFonts w:ascii="Times New Roman" w:hAnsi="Times New Roman" w:cs="Times New Roman"/>
          <w:sz w:val="24"/>
          <w:szCs w:val="24"/>
        </w:rPr>
        <w:t xml:space="preserve"> návrhu </w:t>
      </w:r>
      <w:r w:rsidR="00DB5B7D" w:rsidRPr="00D758FA">
        <w:rPr>
          <w:rFonts w:ascii="Times New Roman" w:hAnsi="Times New Roman" w:cs="Times New Roman"/>
          <w:sz w:val="24"/>
          <w:szCs w:val="24"/>
        </w:rPr>
        <w:t xml:space="preserve">Záverečného účtu mesta Šaľa, rozpočtových organizácií a príspevkovej organizácie v zriaďovateľskej </w:t>
      </w:r>
      <w:r w:rsidR="00183845" w:rsidRPr="00D758FA">
        <w:rPr>
          <w:rFonts w:ascii="Times New Roman" w:hAnsi="Times New Roman" w:cs="Times New Roman"/>
          <w:sz w:val="24"/>
          <w:szCs w:val="24"/>
        </w:rPr>
        <w:t>p</w:t>
      </w:r>
      <w:r w:rsidR="00B85016" w:rsidRPr="00D758FA">
        <w:rPr>
          <w:rFonts w:ascii="Times New Roman" w:hAnsi="Times New Roman" w:cs="Times New Roman"/>
          <w:sz w:val="24"/>
          <w:szCs w:val="24"/>
        </w:rPr>
        <w:t>ôsobnosti mesta Šaľa za rok 202</w:t>
      </w:r>
      <w:r w:rsidR="009776CE" w:rsidRPr="00D758FA">
        <w:rPr>
          <w:rFonts w:ascii="Times New Roman" w:hAnsi="Times New Roman" w:cs="Times New Roman"/>
          <w:sz w:val="24"/>
          <w:szCs w:val="24"/>
        </w:rPr>
        <w:t>2</w:t>
      </w:r>
      <w:r w:rsidR="00183845" w:rsidRPr="00D758FA">
        <w:rPr>
          <w:rFonts w:ascii="Times New Roman" w:hAnsi="Times New Roman" w:cs="Times New Roman"/>
          <w:sz w:val="24"/>
          <w:szCs w:val="24"/>
        </w:rPr>
        <w:t xml:space="preserve"> (ďalej len </w:t>
      </w:r>
      <w:r w:rsidR="00E15FC9" w:rsidRPr="00D758FA">
        <w:rPr>
          <w:rFonts w:ascii="Times New Roman" w:hAnsi="Times New Roman" w:cs="Times New Roman"/>
          <w:sz w:val="24"/>
          <w:szCs w:val="24"/>
        </w:rPr>
        <w:t>návrh záverečného</w:t>
      </w:r>
      <w:r w:rsidR="00DE7568" w:rsidRPr="00D758FA">
        <w:rPr>
          <w:rFonts w:ascii="Times New Roman" w:hAnsi="Times New Roman" w:cs="Times New Roman"/>
          <w:sz w:val="24"/>
          <w:szCs w:val="24"/>
        </w:rPr>
        <w:t xml:space="preserve"> účtu</w:t>
      </w:r>
      <w:r w:rsidR="00DB5B7D" w:rsidRPr="00D758FA">
        <w:rPr>
          <w:rFonts w:ascii="Times New Roman" w:hAnsi="Times New Roman" w:cs="Times New Roman"/>
          <w:sz w:val="24"/>
          <w:szCs w:val="24"/>
        </w:rPr>
        <w:t>).</w:t>
      </w:r>
    </w:p>
    <w:p w14:paraId="729CB08B" w14:textId="77777777" w:rsidR="00DB5B7D" w:rsidRPr="00D758FA" w:rsidRDefault="00DB5B7D" w:rsidP="002229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DB1E5" w14:textId="69ED9DBD" w:rsidR="00FB676A" w:rsidRPr="00D758FA" w:rsidRDefault="00183845" w:rsidP="002229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Odborné stanovisko </w:t>
      </w:r>
      <w:r w:rsidR="00D60B3E" w:rsidRPr="00D758FA">
        <w:rPr>
          <w:rFonts w:ascii="Times New Roman" w:hAnsi="Times New Roman" w:cs="Times New Roman"/>
          <w:sz w:val="24"/>
          <w:szCs w:val="24"/>
        </w:rPr>
        <w:t>k návrhu záverečného účtu</w:t>
      </w:r>
      <w:r w:rsidR="00005227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8516AC" w:rsidRPr="00D758FA">
        <w:rPr>
          <w:rFonts w:ascii="Times New Roman" w:hAnsi="Times New Roman" w:cs="Times New Roman"/>
          <w:sz w:val="24"/>
          <w:szCs w:val="24"/>
        </w:rPr>
        <w:t>mesta Šaľa za rok 202</w:t>
      </w:r>
      <w:r w:rsidR="009776CE" w:rsidRPr="00D758FA">
        <w:rPr>
          <w:rFonts w:ascii="Times New Roman" w:hAnsi="Times New Roman" w:cs="Times New Roman"/>
          <w:sz w:val="24"/>
          <w:szCs w:val="24"/>
        </w:rPr>
        <w:t>2</w:t>
      </w:r>
      <w:r w:rsidR="008516AC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(ďalej len stanovisko</w:t>
      </w:r>
      <w:r w:rsidR="0057384B" w:rsidRPr="00D758FA">
        <w:rPr>
          <w:rFonts w:ascii="Times New Roman" w:hAnsi="Times New Roman" w:cs="Times New Roman"/>
          <w:sz w:val="24"/>
          <w:szCs w:val="24"/>
        </w:rPr>
        <w:t xml:space="preserve">) </w:t>
      </w:r>
      <w:r w:rsidRPr="00D758FA">
        <w:rPr>
          <w:rFonts w:ascii="Times New Roman" w:hAnsi="Times New Roman" w:cs="Times New Roman"/>
          <w:sz w:val="24"/>
          <w:szCs w:val="24"/>
        </w:rPr>
        <w:t xml:space="preserve">som spracovala </w:t>
      </w:r>
      <w:r w:rsidR="008516AC" w:rsidRPr="00D758FA">
        <w:rPr>
          <w:rFonts w:ascii="Times New Roman" w:hAnsi="Times New Roman" w:cs="Times New Roman"/>
          <w:sz w:val="24"/>
          <w:szCs w:val="24"/>
        </w:rPr>
        <w:t>na</w:t>
      </w:r>
      <w:r w:rsidR="002B7CF8" w:rsidRPr="00D758FA">
        <w:rPr>
          <w:rFonts w:ascii="Times New Roman" w:hAnsi="Times New Roman" w:cs="Times New Roman"/>
          <w:sz w:val="24"/>
          <w:szCs w:val="24"/>
        </w:rPr>
        <w:t xml:space="preserve"> základe predloženého </w:t>
      </w:r>
      <w:r w:rsidR="005E3B0B" w:rsidRPr="00D758FA">
        <w:rPr>
          <w:rFonts w:ascii="Times New Roman" w:hAnsi="Times New Roman" w:cs="Times New Roman"/>
          <w:sz w:val="24"/>
          <w:szCs w:val="24"/>
        </w:rPr>
        <w:t>n</w:t>
      </w:r>
      <w:r w:rsidR="00D60B3E" w:rsidRPr="00D758FA">
        <w:rPr>
          <w:rFonts w:ascii="Times New Roman" w:hAnsi="Times New Roman" w:cs="Times New Roman"/>
          <w:sz w:val="24"/>
          <w:szCs w:val="24"/>
        </w:rPr>
        <w:t xml:space="preserve">ávrhu záverečného účtu </w:t>
      </w:r>
      <w:r w:rsidR="00B85016" w:rsidRPr="00D758FA">
        <w:rPr>
          <w:rFonts w:ascii="Times New Roman" w:hAnsi="Times New Roman" w:cs="Times New Roman"/>
          <w:sz w:val="24"/>
          <w:szCs w:val="24"/>
        </w:rPr>
        <w:t>za rok 202</w:t>
      </w:r>
      <w:r w:rsidR="009776CE" w:rsidRPr="00D758FA">
        <w:rPr>
          <w:rFonts w:ascii="Times New Roman" w:hAnsi="Times New Roman" w:cs="Times New Roman"/>
          <w:sz w:val="24"/>
          <w:szCs w:val="24"/>
        </w:rPr>
        <w:t>2</w:t>
      </w:r>
      <w:r w:rsidR="002B7CF8" w:rsidRPr="00D758FA">
        <w:rPr>
          <w:rFonts w:ascii="Times New Roman" w:hAnsi="Times New Roman" w:cs="Times New Roman"/>
          <w:sz w:val="24"/>
          <w:szCs w:val="24"/>
        </w:rPr>
        <w:t xml:space="preserve">, ktorý bol na úradnej tabuli </w:t>
      </w:r>
      <w:r w:rsidRPr="00D758FA">
        <w:rPr>
          <w:rFonts w:ascii="Times New Roman" w:hAnsi="Times New Roman" w:cs="Times New Roman"/>
          <w:sz w:val="24"/>
          <w:szCs w:val="24"/>
        </w:rPr>
        <w:t>a webo</w:t>
      </w:r>
      <w:r w:rsidR="008516AC" w:rsidRPr="00D758FA">
        <w:rPr>
          <w:rFonts w:ascii="Times New Roman" w:hAnsi="Times New Roman" w:cs="Times New Roman"/>
          <w:sz w:val="24"/>
          <w:szCs w:val="24"/>
        </w:rPr>
        <w:t>v</w:t>
      </w:r>
      <w:r w:rsidR="00B85016" w:rsidRPr="00D758FA">
        <w:rPr>
          <w:rFonts w:ascii="Times New Roman" w:hAnsi="Times New Roman" w:cs="Times New Roman"/>
          <w:sz w:val="24"/>
          <w:szCs w:val="24"/>
        </w:rPr>
        <w:t xml:space="preserve">om sídle mesta zverejnený dňa </w:t>
      </w:r>
      <w:r w:rsidR="0066702D" w:rsidRPr="00D758FA">
        <w:rPr>
          <w:rFonts w:ascii="Times New Roman" w:hAnsi="Times New Roman" w:cs="Times New Roman"/>
          <w:sz w:val="24"/>
          <w:szCs w:val="24"/>
        </w:rPr>
        <w:t>14</w:t>
      </w:r>
      <w:r w:rsidR="00682AEB" w:rsidRPr="00D758FA">
        <w:rPr>
          <w:rFonts w:ascii="Times New Roman" w:hAnsi="Times New Roman" w:cs="Times New Roman"/>
          <w:sz w:val="24"/>
          <w:szCs w:val="24"/>
        </w:rPr>
        <w:t xml:space="preserve">. júna </w:t>
      </w:r>
      <w:r w:rsidR="00B85016" w:rsidRPr="00D758FA">
        <w:rPr>
          <w:rFonts w:ascii="Times New Roman" w:hAnsi="Times New Roman" w:cs="Times New Roman"/>
          <w:sz w:val="24"/>
          <w:szCs w:val="24"/>
        </w:rPr>
        <w:t>202</w:t>
      </w:r>
      <w:r w:rsidR="009776CE" w:rsidRPr="00D758FA">
        <w:rPr>
          <w:rFonts w:ascii="Times New Roman" w:hAnsi="Times New Roman" w:cs="Times New Roman"/>
          <w:sz w:val="24"/>
          <w:szCs w:val="24"/>
        </w:rPr>
        <w:t>3</w:t>
      </w:r>
      <w:r w:rsidR="00A14AF9" w:rsidRPr="00D758FA">
        <w:rPr>
          <w:rFonts w:ascii="Times New Roman" w:hAnsi="Times New Roman" w:cs="Times New Roman"/>
          <w:sz w:val="24"/>
          <w:szCs w:val="24"/>
        </w:rPr>
        <w:t>.</w:t>
      </w:r>
    </w:p>
    <w:p w14:paraId="60745696" w14:textId="77777777" w:rsidR="00F42637" w:rsidRPr="00D758FA" w:rsidRDefault="00F42637" w:rsidP="000620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14:paraId="6A2AA762" w14:textId="7FC99AAC" w:rsidR="00F42637" w:rsidRPr="00D758FA" w:rsidRDefault="00F42637" w:rsidP="00062023">
      <w:pPr>
        <w:pStyle w:val="Odsekzoznamu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8FA">
        <w:rPr>
          <w:rFonts w:ascii="Times New Roman" w:hAnsi="Times New Roman" w:cs="Times New Roman"/>
          <w:b/>
          <w:bCs/>
          <w:sz w:val="24"/>
          <w:szCs w:val="24"/>
        </w:rPr>
        <w:t>VÝCHODISKÁ SPRAC</w:t>
      </w:r>
      <w:r w:rsidR="00062023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OVANIA STANOVISKA K NÁVRHU </w:t>
      </w:r>
      <w:r w:rsidR="0000567E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ZÁVEREČNÉHO </w:t>
      </w:r>
      <w:r w:rsidRPr="00D758FA">
        <w:rPr>
          <w:rFonts w:ascii="Times New Roman" w:hAnsi="Times New Roman" w:cs="Times New Roman"/>
          <w:b/>
          <w:bCs/>
          <w:sz w:val="24"/>
          <w:szCs w:val="24"/>
        </w:rPr>
        <w:t>ÚČTU</w:t>
      </w:r>
    </w:p>
    <w:p w14:paraId="01645437" w14:textId="77777777" w:rsidR="00F42637" w:rsidRPr="00D758FA" w:rsidRDefault="00F42637" w:rsidP="00222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C3970" w14:textId="34F43B34" w:rsidR="00B61BF5" w:rsidRPr="00D758FA" w:rsidRDefault="000218AC" w:rsidP="00E15F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Návrh závereč</w:t>
      </w:r>
      <w:r w:rsidR="00ED4C0C" w:rsidRPr="00D758FA">
        <w:rPr>
          <w:rFonts w:ascii="Times New Roman" w:hAnsi="Times New Roman" w:cs="Times New Roman"/>
          <w:sz w:val="24"/>
          <w:szCs w:val="24"/>
        </w:rPr>
        <w:t>ného</w:t>
      </w:r>
      <w:r w:rsidR="00BB2657" w:rsidRPr="00D758FA">
        <w:rPr>
          <w:rFonts w:ascii="Times New Roman" w:hAnsi="Times New Roman" w:cs="Times New Roman"/>
          <w:sz w:val="24"/>
          <w:szCs w:val="24"/>
        </w:rPr>
        <w:t xml:space="preserve"> účtu j</w:t>
      </w:r>
      <w:r w:rsidR="00E27934" w:rsidRPr="00D758FA">
        <w:rPr>
          <w:rFonts w:ascii="Times New Roman" w:hAnsi="Times New Roman" w:cs="Times New Roman"/>
          <w:sz w:val="24"/>
          <w:szCs w:val="24"/>
        </w:rPr>
        <w:t xml:space="preserve">e 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predložený na rokovanie </w:t>
      </w:r>
      <w:r w:rsidR="00005227" w:rsidRPr="00D758FA">
        <w:rPr>
          <w:rFonts w:ascii="Times New Roman" w:hAnsi="Times New Roman" w:cs="Times New Roman"/>
          <w:sz w:val="24"/>
          <w:szCs w:val="24"/>
        </w:rPr>
        <w:t>M</w:t>
      </w:r>
      <w:r w:rsidRPr="00D758FA">
        <w:rPr>
          <w:rFonts w:ascii="Times New Roman" w:hAnsi="Times New Roman" w:cs="Times New Roman"/>
          <w:sz w:val="24"/>
          <w:szCs w:val="24"/>
        </w:rPr>
        <w:t xml:space="preserve">estského zastupiteľstva </w:t>
      </w:r>
      <w:r w:rsidR="00005227" w:rsidRPr="00D758FA">
        <w:rPr>
          <w:rFonts w:ascii="Times New Roman" w:hAnsi="Times New Roman" w:cs="Times New Roman"/>
          <w:sz w:val="24"/>
          <w:szCs w:val="24"/>
        </w:rPr>
        <w:t xml:space="preserve">v Šali </w:t>
      </w:r>
      <w:r w:rsidRPr="00D758FA">
        <w:rPr>
          <w:rFonts w:ascii="Times New Roman" w:hAnsi="Times New Roman" w:cs="Times New Roman"/>
          <w:sz w:val="24"/>
          <w:szCs w:val="24"/>
        </w:rPr>
        <w:t>v zákonom stanovenej lehote</w:t>
      </w:r>
      <w:r w:rsidR="00FA2D2D" w:rsidRPr="00D758FA">
        <w:rPr>
          <w:rFonts w:ascii="Times New Roman" w:hAnsi="Times New Roman" w:cs="Times New Roman"/>
          <w:sz w:val="24"/>
          <w:szCs w:val="24"/>
        </w:rPr>
        <w:t xml:space="preserve"> v súlade s §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A2D2D" w:rsidRPr="00D758FA">
        <w:rPr>
          <w:rFonts w:ascii="Times New Roman" w:hAnsi="Times New Roman" w:cs="Times New Roman"/>
          <w:sz w:val="24"/>
          <w:szCs w:val="24"/>
        </w:rPr>
        <w:t>16 ods. 12 zákona č. 583/2004 Z.z. o rozpočtových pravidlách územnej samosprávy</w:t>
      </w:r>
      <w:r w:rsidRPr="00D758FA">
        <w:rPr>
          <w:rFonts w:ascii="Times New Roman" w:hAnsi="Times New Roman" w:cs="Times New Roman"/>
          <w:sz w:val="24"/>
          <w:szCs w:val="24"/>
        </w:rPr>
        <w:t>, t.j. do šiestich mesiacov po uplynutí rozpočtového roka.</w:t>
      </w:r>
      <w:r w:rsidR="000233C2" w:rsidRPr="00D758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7883D" w14:textId="7F204CCE" w:rsidR="00F623A6" w:rsidRPr="00D758FA" w:rsidRDefault="00F623A6" w:rsidP="00E753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Pri spracovaní stanoviska som vychádzala z posúdenia predloženého </w:t>
      </w:r>
      <w:r w:rsidR="00062023" w:rsidRPr="00D758FA">
        <w:rPr>
          <w:rFonts w:ascii="Times New Roman" w:hAnsi="Times New Roman" w:cs="Times New Roman"/>
          <w:sz w:val="24"/>
          <w:szCs w:val="24"/>
        </w:rPr>
        <w:t>návrhu záverečného účtu za rok 202</w:t>
      </w:r>
      <w:r w:rsidR="009776CE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 z dvoch hľadísk, a to:</w:t>
      </w:r>
    </w:p>
    <w:p w14:paraId="21A26B48" w14:textId="6A1B7821" w:rsidR="00F623A6" w:rsidRPr="00D758FA" w:rsidRDefault="00F623A6" w:rsidP="00B51BC6">
      <w:pPr>
        <w:pStyle w:val="Odsekzoznamu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d</w:t>
      </w:r>
      <w:r w:rsidR="00801DE8" w:rsidRPr="00D758FA">
        <w:rPr>
          <w:rFonts w:ascii="Times New Roman" w:hAnsi="Times New Roman" w:cs="Times New Roman"/>
          <w:sz w:val="24"/>
          <w:szCs w:val="24"/>
        </w:rPr>
        <w:t>održiavanie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E15FC9" w:rsidRPr="00D758FA">
        <w:rPr>
          <w:rFonts w:ascii="Times New Roman" w:hAnsi="Times New Roman" w:cs="Times New Roman"/>
          <w:sz w:val="24"/>
          <w:szCs w:val="24"/>
        </w:rPr>
        <w:t xml:space="preserve">zákonnosti </w:t>
      </w:r>
      <w:r w:rsidR="00D30778" w:rsidRPr="00D758FA">
        <w:rPr>
          <w:rFonts w:ascii="Times New Roman" w:hAnsi="Times New Roman" w:cs="Times New Roman"/>
          <w:sz w:val="24"/>
          <w:szCs w:val="24"/>
        </w:rPr>
        <w:t xml:space="preserve">pri zostavení </w:t>
      </w:r>
      <w:r w:rsidRPr="00D758FA">
        <w:rPr>
          <w:rFonts w:ascii="Times New Roman" w:hAnsi="Times New Roman" w:cs="Times New Roman"/>
          <w:sz w:val="24"/>
          <w:szCs w:val="24"/>
        </w:rPr>
        <w:t>návrhu záverečného účtu</w:t>
      </w:r>
    </w:p>
    <w:p w14:paraId="6EFA6F96" w14:textId="36333391" w:rsidR="00F623A6" w:rsidRPr="00D758FA" w:rsidRDefault="00F623A6" w:rsidP="00B51BC6">
      <w:pPr>
        <w:pStyle w:val="Odsekzoznamu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metodická správnosť </w:t>
      </w:r>
      <w:r w:rsidR="00E15FC9" w:rsidRPr="00D758FA">
        <w:rPr>
          <w:rFonts w:ascii="Times New Roman" w:hAnsi="Times New Roman" w:cs="Times New Roman"/>
          <w:sz w:val="24"/>
          <w:szCs w:val="24"/>
        </w:rPr>
        <w:t xml:space="preserve">zostavenia </w:t>
      </w:r>
      <w:r w:rsidRPr="00D758FA">
        <w:rPr>
          <w:rFonts w:ascii="Times New Roman" w:hAnsi="Times New Roman" w:cs="Times New Roman"/>
          <w:sz w:val="24"/>
          <w:szCs w:val="24"/>
        </w:rPr>
        <w:t>návrhu záverečného účtu</w:t>
      </w:r>
    </w:p>
    <w:p w14:paraId="1897C3CF" w14:textId="77777777" w:rsidR="008C3DD8" w:rsidRPr="00D758FA" w:rsidRDefault="008C3DD8" w:rsidP="008C3DD8">
      <w:pPr>
        <w:pStyle w:val="Nadpis1"/>
        <w:numPr>
          <w:ilvl w:val="0"/>
          <w:numId w:val="0"/>
        </w:numPr>
        <w:spacing w:before="0"/>
        <w:ind w:left="360"/>
        <w:rPr>
          <w:rFonts w:cs="Times New Roman"/>
        </w:rPr>
      </w:pPr>
    </w:p>
    <w:p w14:paraId="113F887C" w14:textId="7C6C17B2" w:rsidR="008C3DD8" w:rsidRPr="00D758FA" w:rsidRDefault="00E15FC9" w:rsidP="00F52272">
      <w:pPr>
        <w:pStyle w:val="Nadpis1"/>
        <w:spacing w:before="0"/>
        <w:rPr>
          <w:rFonts w:cs="Times New Roman"/>
        </w:rPr>
      </w:pPr>
      <w:r w:rsidRPr="00D758FA">
        <w:rPr>
          <w:rFonts w:cs="Times New Roman"/>
        </w:rPr>
        <w:t xml:space="preserve">Dodržiavanie zákonnosti </w:t>
      </w:r>
      <w:r w:rsidR="00D30778" w:rsidRPr="00D758FA">
        <w:rPr>
          <w:rFonts w:cs="Times New Roman"/>
        </w:rPr>
        <w:t xml:space="preserve">pri zostavení </w:t>
      </w:r>
      <w:r w:rsidRPr="00D758FA">
        <w:rPr>
          <w:rFonts w:cs="Times New Roman"/>
        </w:rPr>
        <w:t>návrhu záverečného účtu</w:t>
      </w:r>
    </w:p>
    <w:p w14:paraId="4D63BDEF" w14:textId="77777777" w:rsidR="00E15FC9" w:rsidRPr="00D758FA" w:rsidRDefault="00E15FC9" w:rsidP="00E15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A5F35" w14:textId="77777777" w:rsidR="00801DE8" w:rsidRPr="00D758FA" w:rsidRDefault="008C3DD8" w:rsidP="008C3DD8">
      <w:pPr>
        <w:pStyle w:val="Nadpis2"/>
        <w:rPr>
          <w:rFonts w:cs="Times New Roman"/>
        </w:rPr>
      </w:pPr>
      <w:r w:rsidRPr="00D758FA">
        <w:rPr>
          <w:rFonts w:cs="Times New Roman"/>
        </w:rPr>
        <w:t>Súlad so všeobecne záväznými právnymi predpismi</w:t>
      </w:r>
    </w:p>
    <w:p w14:paraId="1FA31E84" w14:textId="77777777" w:rsidR="00F42637" w:rsidRPr="00D758FA" w:rsidRDefault="00F42637" w:rsidP="00E15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67283" w14:textId="58A3A19C" w:rsidR="00FA2D2D" w:rsidRPr="00D758FA" w:rsidRDefault="00FA2D2D" w:rsidP="00E15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Ná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vrh záverečného účtu </w:t>
      </w:r>
      <w:r w:rsidRPr="00D758FA">
        <w:rPr>
          <w:rFonts w:ascii="Times New Roman" w:hAnsi="Times New Roman" w:cs="Times New Roman"/>
          <w:sz w:val="24"/>
          <w:szCs w:val="24"/>
        </w:rPr>
        <w:t>je spracovaný v súlade so zákonom č. 583/2004 Z.z. o rozpočtových pravidlách územnej samosprávy</w:t>
      </w:r>
      <w:r w:rsidR="00D30778" w:rsidRPr="00D758FA">
        <w:rPr>
          <w:rFonts w:ascii="Times New Roman" w:hAnsi="Times New Roman" w:cs="Times New Roman"/>
          <w:sz w:val="24"/>
          <w:szCs w:val="24"/>
        </w:rPr>
        <w:t>. Pri spracovaní návrhu záverečného účtu je mesto okrem cit. zákona a iných predpisov povinné dodržiavať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 najmä:</w:t>
      </w:r>
    </w:p>
    <w:p w14:paraId="6A36AA84" w14:textId="77777777" w:rsidR="0066702D" w:rsidRPr="00D758FA" w:rsidRDefault="00D30778" w:rsidP="0066702D">
      <w:pPr>
        <w:pStyle w:val="Odsekzoznamu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zákon č. 369/1990 Zb. o obecnom zriadení</w:t>
      </w:r>
    </w:p>
    <w:p w14:paraId="58DD9150" w14:textId="4E386D75" w:rsidR="00F42637" w:rsidRPr="00D758FA" w:rsidRDefault="00D30778" w:rsidP="0066702D">
      <w:pPr>
        <w:pStyle w:val="Odsekzoznamu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FC53B4" w:rsidRPr="00D758FA">
        <w:rPr>
          <w:rFonts w:ascii="Times New Roman" w:eastAsia="Arial" w:hAnsi="Times New Roman" w:cs="Times New Roman"/>
          <w:sz w:val="24"/>
          <w:szCs w:val="24"/>
        </w:rPr>
        <w:t xml:space="preserve">č. 523/2004 Z.z. 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 xml:space="preserve"> o rozpočtových pravidlách verejnej správy </w:t>
      </w:r>
    </w:p>
    <w:p w14:paraId="471C810E" w14:textId="77777777" w:rsidR="00AB3B34" w:rsidRPr="00D758FA" w:rsidRDefault="00D30778" w:rsidP="00B51BC6">
      <w:pPr>
        <w:pStyle w:val="Odsekzoznamu"/>
        <w:numPr>
          <w:ilvl w:val="0"/>
          <w:numId w:val="2"/>
        </w:numPr>
        <w:tabs>
          <w:tab w:val="left" w:pos="683"/>
        </w:tabs>
        <w:spacing w:after="0" w:line="240" w:lineRule="auto"/>
        <w:ind w:right="4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FC53B4" w:rsidRPr="00D758FA">
        <w:rPr>
          <w:rFonts w:ascii="Times New Roman" w:eastAsia="Arial" w:hAnsi="Times New Roman" w:cs="Times New Roman"/>
          <w:sz w:val="24"/>
          <w:szCs w:val="24"/>
        </w:rPr>
        <w:t xml:space="preserve">č. </w:t>
      </w:r>
      <w:r w:rsidRPr="00D758FA">
        <w:rPr>
          <w:rFonts w:ascii="Times New Roman" w:eastAsia="Arial" w:hAnsi="Times New Roman" w:cs="Times New Roman"/>
          <w:sz w:val="24"/>
          <w:szCs w:val="24"/>
        </w:rPr>
        <w:t>138/1990 Zb. o majetku obcí v z.n.p.</w:t>
      </w:r>
    </w:p>
    <w:p w14:paraId="4645ECBC" w14:textId="77777777" w:rsidR="00005227" w:rsidRPr="00D758FA" w:rsidRDefault="00D30778" w:rsidP="00005227">
      <w:pPr>
        <w:pStyle w:val="Odsekzoznamu"/>
        <w:numPr>
          <w:ilvl w:val="0"/>
          <w:numId w:val="2"/>
        </w:numPr>
        <w:tabs>
          <w:tab w:val="left" w:pos="683"/>
        </w:tabs>
        <w:spacing w:after="0" w:line="240" w:lineRule="auto"/>
        <w:ind w:right="4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zákon č. 431/2002 Z.z. o účtovníctve v z.n.p.</w:t>
      </w:r>
    </w:p>
    <w:p w14:paraId="042E101F" w14:textId="6A70FB07" w:rsidR="00062023" w:rsidRPr="00D758FA" w:rsidRDefault="00D30778" w:rsidP="00005227">
      <w:pPr>
        <w:pStyle w:val="Odsekzoznamu"/>
        <w:numPr>
          <w:ilvl w:val="0"/>
          <w:numId w:val="2"/>
        </w:numPr>
        <w:tabs>
          <w:tab w:val="left" w:pos="683"/>
        </w:tabs>
        <w:spacing w:after="0" w:line="240" w:lineRule="auto"/>
        <w:ind w:right="4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 xml:space="preserve">č. </w:t>
      </w:r>
      <w:r w:rsidR="00AB3B34" w:rsidRPr="00D758FA">
        <w:rPr>
          <w:rFonts w:ascii="Times New Roman" w:hAnsi="Times New Roman" w:cs="Times New Roman"/>
          <w:sz w:val="24"/>
          <w:szCs w:val="24"/>
        </w:rPr>
        <w:t>597/2003 Z. z. o financovaní základných š</w:t>
      </w:r>
      <w:r w:rsidR="0066702D" w:rsidRPr="00D758FA">
        <w:rPr>
          <w:rFonts w:ascii="Times New Roman" w:hAnsi="Times New Roman" w:cs="Times New Roman"/>
          <w:sz w:val="24"/>
          <w:szCs w:val="24"/>
        </w:rPr>
        <w:t xml:space="preserve">kôl, stredných škôl a školských </w:t>
      </w:r>
      <w:r w:rsidR="00AB3B34" w:rsidRPr="00D758FA">
        <w:rPr>
          <w:rFonts w:ascii="Times New Roman" w:hAnsi="Times New Roman" w:cs="Times New Roman"/>
          <w:sz w:val="24"/>
          <w:szCs w:val="24"/>
        </w:rPr>
        <w:t>zariadení</w:t>
      </w:r>
      <w:r w:rsidR="00062023" w:rsidRPr="00D758FA">
        <w:rPr>
          <w:rFonts w:ascii="Times New Roman" w:hAnsi="Times New Roman" w:cs="Times New Roman"/>
          <w:sz w:val="24"/>
          <w:szCs w:val="24"/>
        </w:rPr>
        <w:t>.</w:t>
      </w:r>
      <w:r w:rsidR="00AB3B34" w:rsidRPr="00D758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D95F69" w14:textId="77777777" w:rsidR="00F52272" w:rsidRPr="00D758FA" w:rsidRDefault="00F52272" w:rsidP="00F5227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DF744" w14:textId="77777777" w:rsidR="00E15FC9" w:rsidRPr="00D758FA" w:rsidRDefault="00E15FC9" w:rsidP="00E15FC9">
      <w:pPr>
        <w:pStyle w:val="Nadpis2"/>
        <w:rPr>
          <w:rFonts w:cs="Times New Roman"/>
        </w:rPr>
      </w:pPr>
      <w:r w:rsidRPr="00D758FA">
        <w:rPr>
          <w:rFonts w:cs="Times New Roman"/>
        </w:rPr>
        <w:t>Súlad so všeobecne záväznými nariadeniami mesta Šaľa</w:t>
      </w:r>
    </w:p>
    <w:p w14:paraId="3273C76B" w14:textId="77777777" w:rsidR="00E15FC9" w:rsidRPr="00D758FA" w:rsidRDefault="00E15FC9" w:rsidP="002229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613F0" w14:textId="66C22523" w:rsidR="002229D1" w:rsidRPr="00D758FA" w:rsidRDefault="000F53E3" w:rsidP="002229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Návrh záverečného účtu b</w:t>
      </w:r>
      <w:r w:rsidR="00F42637" w:rsidRPr="00D758FA">
        <w:rPr>
          <w:rFonts w:ascii="Times New Roman" w:hAnsi="Times New Roman" w:cs="Times New Roman"/>
          <w:sz w:val="24"/>
          <w:szCs w:val="24"/>
        </w:rPr>
        <w:t>ol spracovaný v</w:t>
      </w:r>
      <w:r w:rsidR="00005227" w:rsidRPr="00D758FA">
        <w:rPr>
          <w:rFonts w:ascii="Times New Roman" w:hAnsi="Times New Roman" w:cs="Times New Roman"/>
          <w:sz w:val="24"/>
          <w:szCs w:val="24"/>
        </w:rPr>
        <w:t> </w:t>
      </w:r>
      <w:r w:rsidR="00F42637" w:rsidRPr="00D758FA">
        <w:rPr>
          <w:rFonts w:ascii="Times New Roman" w:hAnsi="Times New Roman" w:cs="Times New Roman"/>
          <w:sz w:val="24"/>
          <w:szCs w:val="24"/>
        </w:rPr>
        <w:t>súlade</w:t>
      </w:r>
      <w:r w:rsidR="00005227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42637" w:rsidRPr="00D758FA">
        <w:rPr>
          <w:rFonts w:ascii="Times New Roman" w:hAnsi="Times New Roman" w:cs="Times New Roman"/>
          <w:sz w:val="24"/>
          <w:szCs w:val="24"/>
        </w:rPr>
        <w:t>s Rozpočtovými pravidlami mesta Šaľa</w:t>
      </w:r>
      <w:r w:rsidR="00445617" w:rsidRPr="00D758FA">
        <w:rPr>
          <w:rFonts w:ascii="Times New Roman" w:hAnsi="Times New Roman" w:cs="Times New Roman"/>
          <w:sz w:val="24"/>
          <w:szCs w:val="24"/>
        </w:rPr>
        <w:t xml:space="preserve"> schválených</w:t>
      </w:r>
      <w:r w:rsidRPr="00D758FA">
        <w:rPr>
          <w:rFonts w:ascii="Times New Roman" w:hAnsi="Times New Roman" w:cs="Times New Roman"/>
          <w:sz w:val="24"/>
          <w:szCs w:val="24"/>
        </w:rPr>
        <w:t xml:space="preserve"> Uznesením MsZ č.</w:t>
      </w:r>
      <w:r w:rsidR="00005227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 xml:space="preserve">5/2019 zo dňa 4.júla 2019 </w:t>
      </w:r>
      <w:r w:rsidR="00AB3B34" w:rsidRPr="00D758FA">
        <w:rPr>
          <w:rFonts w:ascii="Times New Roman" w:hAnsi="Times New Roman" w:cs="Times New Roman"/>
          <w:sz w:val="24"/>
          <w:szCs w:val="24"/>
        </w:rPr>
        <w:t>a</w:t>
      </w:r>
      <w:r w:rsidRPr="00D758FA">
        <w:rPr>
          <w:rFonts w:ascii="Times New Roman" w:hAnsi="Times New Roman" w:cs="Times New Roman"/>
          <w:sz w:val="24"/>
          <w:szCs w:val="24"/>
        </w:rPr>
        <w:t> 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>Zásad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ami hospodárenia 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>s majetkom  mesta Šaľa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schválených Uznesením MsZ č. 4/2014 zo dňa 16.júla 2014</w:t>
      </w:r>
      <w:r w:rsidR="00C10ABB" w:rsidRPr="00D758FA">
        <w:rPr>
          <w:rFonts w:ascii="Times New Roman" w:eastAsia="Arial" w:hAnsi="Times New Roman" w:cs="Times New Roman"/>
          <w:sz w:val="24"/>
          <w:szCs w:val="24"/>
        </w:rPr>
        <w:t>, VZN č. 2/2020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 xml:space="preserve">  o podmienkach poskyt</w:t>
      </w:r>
      <w:r w:rsidR="00F9162E" w:rsidRPr="00D758FA">
        <w:rPr>
          <w:rFonts w:ascii="Times New Roman" w:eastAsia="Arial" w:hAnsi="Times New Roman" w:cs="Times New Roman"/>
          <w:sz w:val="24"/>
          <w:szCs w:val="24"/>
        </w:rPr>
        <w:t>ovania dotácií</w:t>
      </w:r>
      <w:r w:rsidR="00FC53B4" w:rsidRPr="00D758FA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F9162E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62151" w:rsidRPr="00D758FA">
        <w:rPr>
          <w:rFonts w:ascii="Times New Roman" w:eastAsia="Times New Roman" w:hAnsi="Times New Roman" w:cs="Times New Roman"/>
          <w:sz w:val="24"/>
          <w:szCs w:val="24"/>
        </w:rPr>
        <w:t>VZN č.</w:t>
      </w:r>
      <w:r w:rsidR="00F52272" w:rsidRPr="00D758FA">
        <w:rPr>
          <w:rFonts w:ascii="Times New Roman" w:eastAsia="Times New Roman" w:hAnsi="Times New Roman" w:cs="Times New Roman"/>
          <w:sz w:val="24"/>
          <w:szCs w:val="24"/>
        </w:rPr>
        <w:t xml:space="preserve"> 6/2019</w:t>
      </w:r>
      <w:r w:rsidR="00AB3B34" w:rsidRPr="00D758FA">
        <w:rPr>
          <w:rFonts w:ascii="Times New Roman" w:eastAsia="Times New Roman" w:hAnsi="Times New Roman" w:cs="Times New Roman"/>
          <w:sz w:val="24"/>
          <w:szCs w:val="24"/>
        </w:rPr>
        <w:t xml:space="preserve">  o miestnych daniach a miestnom poplatku za komunálne odpady a drobné staveb</w:t>
      </w:r>
      <w:r w:rsidR="00F52272" w:rsidRPr="00D758FA">
        <w:rPr>
          <w:rFonts w:ascii="Times New Roman" w:eastAsia="Times New Roman" w:hAnsi="Times New Roman" w:cs="Times New Roman"/>
          <w:sz w:val="24"/>
          <w:szCs w:val="24"/>
        </w:rPr>
        <w:t>né odpady na území  mesta Šaľa</w:t>
      </w:r>
      <w:r w:rsidR="00FE468F" w:rsidRPr="00D758F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52272" w:rsidRPr="00D75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7934" w:rsidRPr="00D758FA">
        <w:rPr>
          <w:rFonts w:ascii="Times New Roman" w:eastAsia="Arial" w:hAnsi="Times New Roman" w:cs="Times New Roman"/>
          <w:sz w:val="24"/>
          <w:szCs w:val="24"/>
        </w:rPr>
        <w:t xml:space="preserve">VZN č. </w:t>
      </w:r>
      <w:r w:rsidR="00F52272" w:rsidRPr="00D758FA">
        <w:rPr>
          <w:rFonts w:ascii="Times New Roman" w:eastAsia="Arial" w:hAnsi="Times New Roman" w:cs="Times New Roman"/>
          <w:sz w:val="24"/>
          <w:szCs w:val="24"/>
        </w:rPr>
        <w:t>1/2019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 xml:space="preserve"> o sumách úhrady </w:t>
      </w:r>
      <w:r w:rsidR="00F52272" w:rsidRPr="00D758FA">
        <w:rPr>
          <w:rFonts w:ascii="Times New Roman" w:eastAsia="Arial" w:hAnsi="Times New Roman" w:cs="Times New Roman"/>
          <w:sz w:val="24"/>
          <w:szCs w:val="24"/>
        </w:rPr>
        <w:t xml:space="preserve">za sociálne služby, 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>spôsobe ich určenia a</w:t>
      </w:r>
      <w:r w:rsidR="007557BE" w:rsidRPr="00D758FA">
        <w:rPr>
          <w:rFonts w:ascii="Times New Roman" w:eastAsia="Arial" w:hAnsi="Times New Roman" w:cs="Times New Roman"/>
          <w:sz w:val="24"/>
          <w:szCs w:val="24"/>
        </w:rPr>
        <w:t> 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>platenia</w:t>
      </w:r>
      <w:r w:rsidR="007557BE" w:rsidRPr="00D758FA">
        <w:rPr>
          <w:rFonts w:ascii="Times New Roman" w:eastAsia="Arial" w:hAnsi="Times New Roman" w:cs="Times New Roman"/>
          <w:sz w:val="24"/>
          <w:szCs w:val="24"/>
        </w:rPr>
        <w:t xml:space="preserve"> v znení VZN č. 5/2021</w:t>
      </w:r>
      <w:r w:rsidR="00F52272" w:rsidRPr="00D758FA">
        <w:rPr>
          <w:rFonts w:ascii="Times New Roman" w:eastAsia="Arial" w:hAnsi="Times New Roman" w:cs="Times New Roman"/>
          <w:sz w:val="24"/>
          <w:szCs w:val="24"/>
        </w:rPr>
        <w:t xml:space="preserve">, VZN č. </w:t>
      </w:r>
      <w:r w:rsidR="00BD654B" w:rsidRPr="00302B03">
        <w:rPr>
          <w:rFonts w:ascii="Times New Roman" w:eastAsia="Arial" w:hAnsi="Times New Roman" w:cs="Times New Roman"/>
          <w:sz w:val="24"/>
          <w:szCs w:val="24"/>
        </w:rPr>
        <w:t xml:space="preserve">7/2021 </w:t>
      </w:r>
      <w:r w:rsidR="00F52272" w:rsidRPr="00D758FA">
        <w:rPr>
          <w:rFonts w:ascii="Times New Roman" w:eastAsia="Arial" w:hAnsi="Times New Roman" w:cs="Times New Roman"/>
          <w:sz w:val="24"/>
          <w:szCs w:val="24"/>
        </w:rPr>
        <w:t>o určení výšky príspevku na čiastočnú úhradu nákladov</w:t>
      </w:r>
      <w:r w:rsidR="00445617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52272" w:rsidRPr="00D758FA">
        <w:rPr>
          <w:rFonts w:ascii="Times New Roman" w:eastAsia="Arial" w:hAnsi="Times New Roman" w:cs="Times New Roman"/>
          <w:sz w:val="24"/>
          <w:szCs w:val="24"/>
        </w:rPr>
        <w:t>v školách a školských zariadeniach v zriaďovateľskej pôsobnosti mesta Šaľa</w:t>
      </w:r>
      <w:r w:rsidR="00D32A3E"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4A279D47" w14:textId="77777777" w:rsidR="00956C82" w:rsidRPr="00D758FA" w:rsidRDefault="00956C82" w:rsidP="00222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98462" w14:textId="77777777" w:rsidR="00F42637" w:rsidRPr="00D758FA" w:rsidRDefault="00F42637" w:rsidP="00F52272">
      <w:pPr>
        <w:pStyle w:val="Nadpis2"/>
        <w:rPr>
          <w:rFonts w:cs="Times New Roman"/>
        </w:rPr>
      </w:pPr>
      <w:r w:rsidRPr="00D758FA">
        <w:rPr>
          <w:rFonts w:cs="Times New Roman"/>
        </w:rPr>
        <w:lastRenderedPageBreak/>
        <w:t>Dodržanie informačnej povinnosti</w:t>
      </w:r>
      <w:r w:rsidR="003270D9" w:rsidRPr="00D758FA">
        <w:rPr>
          <w:rFonts w:cs="Times New Roman"/>
        </w:rPr>
        <w:t xml:space="preserve"> zo strany mesta</w:t>
      </w:r>
    </w:p>
    <w:p w14:paraId="09E88A68" w14:textId="77777777" w:rsidR="00A4405D" w:rsidRPr="00D758FA" w:rsidRDefault="00A4405D" w:rsidP="002229D1">
      <w:pPr>
        <w:tabs>
          <w:tab w:val="left" w:pos="724"/>
        </w:tabs>
        <w:spacing w:after="0" w:line="240" w:lineRule="auto"/>
        <w:ind w:left="724"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12735A" w14:textId="0798DA9F" w:rsidR="00F52272" w:rsidRPr="00D758FA" w:rsidRDefault="00B26C25" w:rsidP="002229D1">
      <w:pPr>
        <w:tabs>
          <w:tab w:val="left" w:pos="72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Návrh záverečného účtu bol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dňa </w:t>
      </w:r>
      <w:r w:rsidR="0066702D" w:rsidRPr="00D758FA">
        <w:rPr>
          <w:rFonts w:ascii="Times New Roman" w:eastAsia="Arial" w:hAnsi="Times New Roman" w:cs="Times New Roman"/>
          <w:sz w:val="24"/>
          <w:szCs w:val="24"/>
        </w:rPr>
        <w:t>14</w:t>
      </w:r>
      <w:r w:rsidR="00682AEB" w:rsidRPr="00D758FA">
        <w:rPr>
          <w:rFonts w:ascii="Times New Roman" w:eastAsia="Arial" w:hAnsi="Times New Roman" w:cs="Times New Roman"/>
          <w:sz w:val="24"/>
          <w:szCs w:val="24"/>
        </w:rPr>
        <w:t xml:space="preserve">. júna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>202</w:t>
      </w:r>
      <w:r w:rsidR="0066702D" w:rsidRPr="00D758FA">
        <w:rPr>
          <w:rFonts w:ascii="Times New Roman" w:eastAsia="Arial" w:hAnsi="Times New Roman" w:cs="Times New Roman"/>
          <w:sz w:val="24"/>
          <w:szCs w:val="24"/>
        </w:rPr>
        <w:t>3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verejne sprístupnený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na úradnej tabuli a webovom sídle mesta v zákonom stanovenej lehote v súlade s § 9 ods. ods. 2 zákona č. 369/1990 Zb. o obecnom zriadení a § 16 ods. 9 zákona č. 583/2004 Z.z. o rozpočtových 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pravidlách územnej samosprávy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13E006AF" w14:textId="77777777" w:rsidR="00F42637" w:rsidRPr="00D758FA" w:rsidRDefault="00F42637" w:rsidP="00222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D29E4" w14:textId="77777777" w:rsidR="00F42637" w:rsidRPr="00D758FA" w:rsidRDefault="00F42637" w:rsidP="00F52272">
      <w:pPr>
        <w:pStyle w:val="Nadpis2"/>
        <w:rPr>
          <w:rFonts w:cs="Times New Roman"/>
        </w:rPr>
      </w:pPr>
      <w:r w:rsidRPr="00D758FA">
        <w:rPr>
          <w:rFonts w:cs="Times New Roman"/>
        </w:rPr>
        <w:t>Dodržanie povinnosti auditu</w:t>
      </w:r>
      <w:r w:rsidR="003270D9" w:rsidRPr="00D758FA">
        <w:rPr>
          <w:rFonts w:cs="Times New Roman"/>
        </w:rPr>
        <w:t xml:space="preserve"> zo strany mesta</w:t>
      </w:r>
    </w:p>
    <w:p w14:paraId="3AECB9CA" w14:textId="77777777" w:rsidR="00F42637" w:rsidRPr="00D758FA" w:rsidRDefault="00F42637" w:rsidP="00222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6A0496F" w14:textId="57FD295C" w:rsidR="009F11D9" w:rsidRPr="00D758FA" w:rsidRDefault="005552FA" w:rsidP="002229D1">
      <w:pPr>
        <w:tabs>
          <w:tab w:val="left" w:pos="72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Mesto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35638" w:rsidRPr="00D758FA">
        <w:rPr>
          <w:rFonts w:ascii="Times New Roman" w:eastAsia="Arial" w:hAnsi="Times New Roman" w:cs="Times New Roman"/>
          <w:sz w:val="24"/>
          <w:szCs w:val="24"/>
        </w:rPr>
        <w:t xml:space="preserve">si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splnilo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povinnosť </w:t>
      </w:r>
      <w:r w:rsidR="0073271B" w:rsidRPr="00D758FA">
        <w:rPr>
          <w:rFonts w:ascii="Times New Roman" w:eastAsia="Arial" w:hAnsi="Times New Roman" w:cs="Times New Roman"/>
          <w:sz w:val="24"/>
          <w:szCs w:val="24"/>
        </w:rPr>
        <w:t>overenia ú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čtovnej závierky audítorom v súlade s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3271B" w:rsidRPr="00D758FA">
        <w:rPr>
          <w:rFonts w:ascii="Times New Roman" w:eastAsia="Arial" w:hAnsi="Times New Roman" w:cs="Times New Roman"/>
          <w:sz w:val="24"/>
          <w:szCs w:val="24"/>
        </w:rPr>
        <w:t>§ 9 ods. 4 zákona č. 369/1990 Zb. o obecnom zriadení v</w:t>
      </w:r>
      <w:r w:rsidR="00E239F8" w:rsidRPr="00D758FA">
        <w:rPr>
          <w:rFonts w:ascii="Times New Roman" w:eastAsia="Arial" w:hAnsi="Times New Roman" w:cs="Times New Roman"/>
          <w:sz w:val="24"/>
          <w:szCs w:val="24"/>
        </w:rPr>
        <w:t> nadväznosti na</w:t>
      </w:r>
      <w:r w:rsidR="0073271B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>§ 16 ods. 3 zákona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 xml:space="preserve"> č. 583/2004 Z.z.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 xml:space="preserve"> o rozpočtových pravidl</w:t>
      </w:r>
      <w:r w:rsidR="00935638" w:rsidRPr="00D758FA">
        <w:rPr>
          <w:rFonts w:ascii="Times New Roman" w:eastAsia="Arial" w:hAnsi="Times New Roman" w:cs="Times New Roman"/>
          <w:sz w:val="24"/>
          <w:szCs w:val="24"/>
        </w:rPr>
        <w:t xml:space="preserve">ách územnej samosprávy </w:t>
      </w:r>
      <w:r w:rsidR="009F11D9" w:rsidRPr="00D758FA">
        <w:rPr>
          <w:rFonts w:ascii="Times New Roman" w:eastAsia="Arial" w:hAnsi="Times New Roman" w:cs="Times New Roman"/>
          <w:sz w:val="24"/>
          <w:szCs w:val="24"/>
        </w:rPr>
        <w:t>a zákona č. 523/2004 Z.z. o rozpočtových pravidlách verejnej správy</w:t>
      </w:r>
      <w:r w:rsidR="00B157C3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9F11D9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0B219B6C" w14:textId="0E394B79" w:rsidR="00F45DD3" w:rsidRPr="00D758FA" w:rsidRDefault="00CC616B" w:rsidP="002229D1">
      <w:pPr>
        <w:tabs>
          <w:tab w:val="left" w:pos="72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Audit vykonala</w:t>
      </w:r>
      <w:r w:rsidR="00D00A28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239F8" w:rsidRPr="00D758FA">
        <w:rPr>
          <w:rFonts w:ascii="Times New Roman" w:eastAsia="Arial" w:hAnsi="Times New Roman" w:cs="Times New Roman"/>
          <w:sz w:val="24"/>
          <w:szCs w:val="24"/>
        </w:rPr>
        <w:t xml:space="preserve">audítorka </w:t>
      </w:r>
      <w:r w:rsidR="00D00A28" w:rsidRPr="00D758FA">
        <w:rPr>
          <w:rFonts w:ascii="Times New Roman" w:eastAsia="Arial" w:hAnsi="Times New Roman" w:cs="Times New Roman"/>
          <w:sz w:val="24"/>
          <w:szCs w:val="24"/>
        </w:rPr>
        <w:t>I</w:t>
      </w:r>
      <w:r w:rsidR="00E239F8" w:rsidRPr="00D758FA">
        <w:rPr>
          <w:rFonts w:ascii="Times New Roman" w:eastAsia="Arial" w:hAnsi="Times New Roman" w:cs="Times New Roman"/>
          <w:sz w:val="24"/>
          <w:szCs w:val="24"/>
        </w:rPr>
        <w:t>ng. Jolana Takácsová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 xml:space="preserve"> a správu z 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overenia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 xml:space="preserve"> účtovnej závierky 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predložila d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>ňa 2</w:t>
      </w:r>
      <w:r w:rsidR="003B1901" w:rsidRPr="00D758FA">
        <w:rPr>
          <w:rFonts w:ascii="Times New Roman" w:eastAsia="Arial" w:hAnsi="Times New Roman" w:cs="Times New Roman"/>
          <w:sz w:val="24"/>
          <w:szCs w:val="24"/>
        </w:rPr>
        <w:t>6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3B1901" w:rsidRPr="00D758FA">
        <w:rPr>
          <w:rFonts w:ascii="Times New Roman" w:eastAsia="Arial" w:hAnsi="Times New Roman" w:cs="Times New Roman"/>
          <w:sz w:val="24"/>
          <w:szCs w:val="24"/>
        </w:rPr>
        <w:t>5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>.202</w:t>
      </w:r>
      <w:r w:rsidR="003B1901" w:rsidRPr="00D758FA">
        <w:rPr>
          <w:rFonts w:ascii="Times New Roman" w:eastAsia="Arial" w:hAnsi="Times New Roman" w:cs="Times New Roman"/>
          <w:sz w:val="24"/>
          <w:szCs w:val="24"/>
        </w:rPr>
        <w:t>3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 xml:space="preserve"> s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 </w:t>
      </w:r>
      <w:r w:rsidR="009F11D9" w:rsidRPr="00D758FA">
        <w:rPr>
          <w:rFonts w:ascii="Times New Roman" w:eastAsia="Arial" w:hAnsi="Times New Roman" w:cs="Times New Roman"/>
          <w:sz w:val="24"/>
          <w:szCs w:val="24"/>
        </w:rPr>
        <w:t>výrokom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679A0" w:rsidRPr="00D758FA">
        <w:rPr>
          <w:rFonts w:ascii="Times New Roman" w:eastAsia="Arial" w:hAnsi="Times New Roman" w:cs="Times New Roman"/>
          <w:i/>
          <w:sz w:val="24"/>
          <w:szCs w:val="24"/>
        </w:rPr>
        <w:t>„</w:t>
      </w:r>
      <w:r w:rsidR="00B679A0" w:rsidRPr="00302B03">
        <w:rPr>
          <w:rFonts w:ascii="Times New Roman" w:eastAsia="Arial" w:hAnsi="Times New Roman" w:cs="Times New Roman"/>
          <w:iCs/>
          <w:sz w:val="24"/>
          <w:szCs w:val="24"/>
        </w:rPr>
        <w:t>ú</w:t>
      </w:r>
      <w:r w:rsidR="00F45DD3" w:rsidRPr="00302B03">
        <w:rPr>
          <w:rFonts w:ascii="Times New Roman" w:eastAsia="Arial" w:hAnsi="Times New Roman" w:cs="Times New Roman"/>
          <w:iCs/>
          <w:sz w:val="24"/>
          <w:szCs w:val="24"/>
        </w:rPr>
        <w:t xml:space="preserve">čtovná </w:t>
      </w:r>
      <w:r w:rsidR="00092BCC" w:rsidRPr="00302B03">
        <w:rPr>
          <w:rFonts w:ascii="Times New Roman" w:eastAsia="Arial" w:hAnsi="Times New Roman" w:cs="Times New Roman"/>
          <w:iCs/>
          <w:sz w:val="24"/>
          <w:szCs w:val="24"/>
        </w:rPr>
        <w:t>závierka</w:t>
      </w:r>
      <w:r w:rsidR="00F45DD3" w:rsidRPr="00302B03">
        <w:rPr>
          <w:rFonts w:ascii="Times New Roman" w:eastAsia="Arial" w:hAnsi="Times New Roman" w:cs="Times New Roman"/>
          <w:iCs/>
          <w:sz w:val="24"/>
          <w:szCs w:val="24"/>
        </w:rPr>
        <w:t xml:space="preserve"> poskytuje pravdivý a verný obraz  finančnej situácie mesta Šaľa k 31.</w:t>
      </w:r>
      <w:r w:rsidR="007105AA" w:rsidRPr="00302B03">
        <w:rPr>
          <w:rFonts w:ascii="Times New Roman" w:eastAsia="Arial" w:hAnsi="Times New Roman" w:cs="Times New Roman"/>
          <w:iCs/>
          <w:sz w:val="24"/>
          <w:szCs w:val="24"/>
        </w:rPr>
        <w:t>decembru 202</w:t>
      </w:r>
      <w:r w:rsidR="00BD654B" w:rsidRPr="00302B03">
        <w:rPr>
          <w:rFonts w:ascii="Times New Roman" w:eastAsia="Arial" w:hAnsi="Times New Roman" w:cs="Times New Roman"/>
          <w:iCs/>
          <w:sz w:val="24"/>
          <w:szCs w:val="24"/>
        </w:rPr>
        <w:t>2</w:t>
      </w:r>
      <w:r w:rsidR="007105AA" w:rsidRPr="00302B03">
        <w:rPr>
          <w:rFonts w:ascii="Times New Roman" w:eastAsia="Arial" w:hAnsi="Times New Roman" w:cs="Times New Roman"/>
          <w:iCs/>
          <w:sz w:val="24"/>
          <w:szCs w:val="24"/>
        </w:rPr>
        <w:t xml:space="preserve"> a výsledku jej hospodárenia za rok končiaci sa k uvedenému dátumu podľa zákona č. 431/2002 Z.z. o účtovníctve v z.n.p</w:t>
      </w:r>
      <w:r w:rsidR="007105AA" w:rsidRPr="00D758FA">
        <w:rPr>
          <w:rFonts w:ascii="Times New Roman" w:eastAsia="Arial" w:hAnsi="Times New Roman" w:cs="Times New Roman"/>
          <w:i/>
          <w:iCs/>
          <w:sz w:val="24"/>
          <w:szCs w:val="24"/>
        </w:rPr>
        <w:t>.</w:t>
      </w:r>
      <w:r w:rsidR="00B679A0" w:rsidRPr="00D758FA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“. </w:t>
      </w:r>
      <w:r w:rsidR="00B679A0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Správa </w:t>
      </w:r>
      <w:r w:rsidR="00092BCC" w:rsidRPr="00D758FA">
        <w:rPr>
          <w:rFonts w:ascii="Times New Roman" w:eastAsia="Arial" w:hAnsi="Times New Roman" w:cs="Times New Roman"/>
          <w:iCs/>
          <w:sz w:val="24"/>
          <w:szCs w:val="24"/>
        </w:rPr>
        <w:t>audítora za rok 202</w:t>
      </w:r>
      <w:r w:rsidR="00BD654B" w:rsidRPr="00D758FA">
        <w:rPr>
          <w:rFonts w:ascii="Times New Roman" w:eastAsia="Arial" w:hAnsi="Times New Roman" w:cs="Times New Roman"/>
          <w:iCs/>
          <w:sz w:val="24"/>
          <w:szCs w:val="24"/>
        </w:rPr>
        <w:t>2</w:t>
      </w:r>
      <w:r w:rsidR="00092BCC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 </w:t>
      </w:r>
      <w:r w:rsidR="00B679A0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z overenia účtovnej závierky </w:t>
      </w:r>
      <w:r w:rsidR="00092BCC" w:rsidRPr="00D758FA">
        <w:rPr>
          <w:rFonts w:ascii="Times New Roman" w:eastAsia="Arial" w:hAnsi="Times New Roman" w:cs="Times New Roman"/>
          <w:iCs/>
          <w:sz w:val="24"/>
          <w:szCs w:val="24"/>
        </w:rPr>
        <w:t>tvorí</w:t>
      </w:r>
      <w:r w:rsidR="00B679A0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 </w:t>
      </w:r>
      <w:r w:rsidR="00092BCC" w:rsidRPr="00D758FA">
        <w:rPr>
          <w:rFonts w:ascii="Times New Roman" w:eastAsia="Arial" w:hAnsi="Times New Roman" w:cs="Times New Roman"/>
          <w:sz w:val="24"/>
          <w:szCs w:val="24"/>
        </w:rPr>
        <w:t>prílohu</w:t>
      </w:r>
      <w:r w:rsidR="00B10296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 xml:space="preserve">návrhu </w:t>
      </w:r>
      <w:r w:rsidR="00B10296" w:rsidRPr="00D758FA">
        <w:rPr>
          <w:rFonts w:ascii="Times New Roman" w:eastAsia="Arial" w:hAnsi="Times New Roman" w:cs="Times New Roman"/>
          <w:sz w:val="24"/>
          <w:szCs w:val="24"/>
        </w:rPr>
        <w:t>záverečného účtu.</w:t>
      </w:r>
    </w:p>
    <w:p w14:paraId="73D0325F" w14:textId="77777777" w:rsidR="00F42637" w:rsidRPr="00D758FA" w:rsidRDefault="00F42637" w:rsidP="00222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94B98" w14:textId="50FC3198" w:rsidR="00F42637" w:rsidRPr="00D758FA" w:rsidRDefault="00F42637" w:rsidP="00F52272">
      <w:pPr>
        <w:pStyle w:val="Nadpis1"/>
        <w:spacing w:before="0"/>
        <w:rPr>
          <w:rFonts w:cs="Times New Roman"/>
        </w:rPr>
      </w:pPr>
      <w:r w:rsidRPr="00D758FA">
        <w:rPr>
          <w:rFonts w:cs="Times New Roman"/>
        </w:rPr>
        <w:t>Metodická správnosť zostavenia náv</w:t>
      </w:r>
      <w:r w:rsidR="00B679A0" w:rsidRPr="00D758FA">
        <w:rPr>
          <w:rFonts w:cs="Times New Roman"/>
        </w:rPr>
        <w:t>rhu záverečného účtu</w:t>
      </w:r>
    </w:p>
    <w:p w14:paraId="6C45BB0A" w14:textId="77777777" w:rsidR="00F52272" w:rsidRPr="00D758FA" w:rsidRDefault="00F52272" w:rsidP="00FA2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57102" w14:textId="180C8209" w:rsidR="00926B38" w:rsidRPr="00D758FA" w:rsidRDefault="00CC4961" w:rsidP="00CC49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Predložený návrh záverečného účtu </w:t>
      </w:r>
      <w:r w:rsidR="00B679A0" w:rsidRPr="00D758FA">
        <w:rPr>
          <w:rFonts w:ascii="Times New Roman" w:hAnsi="Times New Roman" w:cs="Times New Roman"/>
          <w:sz w:val="24"/>
          <w:szCs w:val="24"/>
        </w:rPr>
        <w:t xml:space="preserve">obsahuje povinné </w:t>
      </w:r>
      <w:r w:rsidR="00FA2D2D" w:rsidRPr="00D758FA">
        <w:rPr>
          <w:rFonts w:ascii="Times New Roman" w:hAnsi="Times New Roman" w:cs="Times New Roman"/>
          <w:sz w:val="24"/>
          <w:szCs w:val="24"/>
        </w:rPr>
        <w:t>nálež</w:t>
      </w:r>
      <w:r w:rsidR="00B679A0" w:rsidRPr="00D758FA">
        <w:rPr>
          <w:rFonts w:ascii="Times New Roman" w:hAnsi="Times New Roman" w:cs="Times New Roman"/>
          <w:sz w:val="24"/>
          <w:szCs w:val="24"/>
        </w:rPr>
        <w:t xml:space="preserve">itosti podľa </w:t>
      </w:r>
      <w:r w:rsidRPr="00D758FA">
        <w:rPr>
          <w:rFonts w:ascii="Times New Roman" w:hAnsi="Times New Roman" w:cs="Times New Roman"/>
          <w:sz w:val="24"/>
          <w:szCs w:val="24"/>
        </w:rPr>
        <w:t xml:space="preserve">§ 16 ods. 5 zákona č. </w:t>
      </w:r>
      <w:r w:rsidR="00FA2D2D" w:rsidRPr="00D758FA">
        <w:rPr>
          <w:rFonts w:ascii="Times New Roman" w:hAnsi="Times New Roman" w:cs="Times New Roman"/>
          <w:sz w:val="24"/>
          <w:szCs w:val="24"/>
        </w:rPr>
        <w:t>583/2004 Z. z. o rozpočtových pravidlách územnej samosprávy</w:t>
      </w:r>
      <w:r w:rsidR="00B679A0" w:rsidRPr="00D758FA">
        <w:rPr>
          <w:rFonts w:ascii="Times New Roman" w:hAnsi="Times New Roman" w:cs="Times New Roman"/>
          <w:sz w:val="24"/>
          <w:szCs w:val="24"/>
        </w:rPr>
        <w:t>, a to</w:t>
      </w:r>
      <w:r w:rsidRPr="00D758FA">
        <w:rPr>
          <w:rFonts w:ascii="Times New Roman" w:hAnsi="Times New Roman" w:cs="Times New Roman"/>
          <w:sz w:val="24"/>
          <w:szCs w:val="24"/>
        </w:rPr>
        <w:t>:</w:t>
      </w:r>
    </w:p>
    <w:p w14:paraId="196D35AB" w14:textId="77777777" w:rsidR="006E3687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údaje o plnení rozpočtu v členení podľa § 10 ods. 3 v súlade s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rozpočtovou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klasifikáciou</w:t>
      </w:r>
    </w:p>
    <w:p w14:paraId="0DB08FBB" w14:textId="77777777" w:rsidR="006E3687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bilanciu aktív a pasív</w:t>
      </w:r>
    </w:p>
    <w:p w14:paraId="4986ABA9" w14:textId="77777777" w:rsidR="006E3687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prehľad o stave a vývoji dlhu</w:t>
      </w:r>
    </w:p>
    <w:p w14:paraId="4E744B1C" w14:textId="6E654258" w:rsidR="006E3687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údaje o hospodárení príspevkovej organizácie mesta </w:t>
      </w:r>
      <w:r w:rsidR="00EA042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Šaľa </w:t>
      </w:r>
    </w:p>
    <w:p w14:paraId="5E724D68" w14:textId="77777777" w:rsidR="006E3687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prehľad o poskytnutých dotáciách podľa § 7 ods. 4 v členení podľa jednotlivých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príjemcov</w:t>
      </w:r>
    </w:p>
    <w:p w14:paraId="62107F9F" w14:textId="77777777" w:rsidR="0026406D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údaje o nákladoch a výnosoch podnikateľskej činnosti</w:t>
      </w:r>
    </w:p>
    <w:p w14:paraId="2DFCE5BB" w14:textId="01DCED58" w:rsidR="00926B38" w:rsidRPr="00D758FA" w:rsidRDefault="006E3687" w:rsidP="00B51BC6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hodnotenie plnenia programov mesta</w:t>
      </w:r>
      <w:r w:rsidR="00B123C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5A061125" w14:textId="77777777" w:rsidR="00926B38" w:rsidRPr="00D758FA" w:rsidRDefault="00926B38" w:rsidP="00926B38">
      <w:p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35CCACF5" w14:textId="593EDF5F" w:rsidR="006E3687" w:rsidRPr="00D758FA" w:rsidRDefault="006E3687" w:rsidP="00282E70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Údaje o plnení rozpočtu boli spracované podľa rozpo</w:t>
      </w:r>
      <w:r w:rsidR="00205D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čtovej klasifikácie v súlade s Opatrením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M</w:t>
      </w:r>
      <w:r w:rsidR="00BE491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inisterstva financií SR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205D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č. 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MF/</w:t>
      </w:r>
      <w:r w:rsidR="00205D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010175/2004-42</w:t>
      </w:r>
      <w:r w:rsidR="00BE491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205D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ktorým sa ustanovuje druhová, organizačná a ekonomická klasifikácia rozpočtovej klasifikácie, ktorá je záväzná pri zostavení, sledovaní a vyhodnocovaní rozpočtov územnej samosprávy.</w:t>
      </w:r>
    </w:p>
    <w:p w14:paraId="6D8A526D" w14:textId="6E890B91" w:rsidR="004F1AB5" w:rsidRPr="00D758FA" w:rsidRDefault="004F1AB5" w:rsidP="00B12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0115D07C" w14:textId="77777777" w:rsidR="00F42637" w:rsidRPr="00D758FA" w:rsidRDefault="00F42637" w:rsidP="00205DE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b/>
          <w:bCs/>
          <w:sz w:val="24"/>
          <w:szCs w:val="24"/>
        </w:rPr>
        <w:t>ZOSTAVENIE NÁVRHU ZÁVEREČNÉHO ÚČTU</w:t>
      </w:r>
    </w:p>
    <w:p w14:paraId="3CEBDF31" w14:textId="77777777" w:rsidR="00F42637" w:rsidRPr="00D758FA" w:rsidRDefault="00F42637" w:rsidP="00222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529EA" w14:textId="10F1C5C8" w:rsidR="00B123C5" w:rsidRPr="00D758FA" w:rsidRDefault="00B123C5" w:rsidP="002229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Mesto pri zostavení návrhu záverečného účtu postupovalo podľa § 16 ods. 1 zákona o rozpočtových pravidlách územnej samosprávy</w:t>
      </w:r>
      <w:r w:rsidR="003806B9" w:rsidRPr="00D758FA">
        <w:rPr>
          <w:rFonts w:ascii="Times New Roman" w:hAnsi="Times New Roman" w:cs="Times New Roman"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a po skončení rozpočtového roka</w:t>
      </w:r>
      <w:r w:rsidR="003806B9" w:rsidRPr="00D758FA">
        <w:rPr>
          <w:rFonts w:ascii="Times New Roman" w:hAnsi="Times New Roman" w:cs="Times New Roman"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údaje o rozpočtovom  hospodárení</w:t>
      </w:r>
      <w:r w:rsidR="003806B9" w:rsidRPr="00D758FA">
        <w:rPr>
          <w:rFonts w:ascii="Times New Roman" w:hAnsi="Times New Roman" w:cs="Times New Roman"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súhrnne spracovalo do návrhu záverečného účtu.</w:t>
      </w:r>
    </w:p>
    <w:p w14:paraId="4A5157D1" w14:textId="263D48AC" w:rsidR="00A43EE3" w:rsidRPr="00D758FA" w:rsidRDefault="00F42637" w:rsidP="00A43E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V súlade s §</w:t>
      </w:r>
      <w:r w:rsidR="002B6258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 xml:space="preserve">16 ods. 2 </w:t>
      </w:r>
      <w:r w:rsidR="00B11416" w:rsidRPr="00D758FA">
        <w:rPr>
          <w:rFonts w:ascii="Times New Roman" w:hAnsi="Times New Roman" w:cs="Times New Roman"/>
          <w:sz w:val="24"/>
          <w:szCs w:val="24"/>
        </w:rPr>
        <w:t xml:space="preserve">cit. </w:t>
      </w:r>
      <w:r w:rsidRPr="00D758FA">
        <w:rPr>
          <w:rFonts w:ascii="Times New Roman" w:hAnsi="Times New Roman" w:cs="Times New Roman"/>
          <w:sz w:val="24"/>
          <w:szCs w:val="24"/>
        </w:rPr>
        <w:t>zákona</w:t>
      </w:r>
      <w:r w:rsidR="00B123C5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finančne usporiadalo svoje hospodárenie</w:t>
      </w:r>
      <w:r w:rsidR="00B123C5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 xml:space="preserve">vrátane finančných vzťahov k zriadeným </w:t>
      </w:r>
      <w:r w:rsidR="00B11416" w:rsidRPr="00D758FA">
        <w:rPr>
          <w:rFonts w:ascii="Times New Roman" w:hAnsi="Times New Roman" w:cs="Times New Roman"/>
          <w:sz w:val="24"/>
          <w:szCs w:val="24"/>
        </w:rPr>
        <w:t>a založeným právni</w:t>
      </w:r>
      <w:r w:rsidR="002B6258" w:rsidRPr="00D758FA">
        <w:rPr>
          <w:rFonts w:ascii="Times New Roman" w:hAnsi="Times New Roman" w:cs="Times New Roman"/>
          <w:sz w:val="24"/>
          <w:szCs w:val="24"/>
        </w:rPr>
        <w:t xml:space="preserve">ckým osobám a fyzickým osobám - </w:t>
      </w:r>
      <w:r w:rsidR="00B11416" w:rsidRPr="00D758FA">
        <w:rPr>
          <w:rFonts w:ascii="Times New Roman" w:hAnsi="Times New Roman" w:cs="Times New Roman"/>
          <w:sz w:val="24"/>
          <w:szCs w:val="24"/>
        </w:rPr>
        <w:t xml:space="preserve">podnikateľom, </w:t>
      </w:r>
      <w:r w:rsidRPr="00D758FA">
        <w:rPr>
          <w:rFonts w:ascii="Times New Roman" w:hAnsi="Times New Roman" w:cs="Times New Roman"/>
          <w:sz w:val="24"/>
          <w:szCs w:val="24"/>
        </w:rPr>
        <w:t>ktorým poskytlo prostriedky zo svojho rozpočtu. Ďalej usporiadalo finančné vzťahy k</w:t>
      </w:r>
      <w:r w:rsidR="00DA4E90" w:rsidRPr="00D758FA">
        <w:rPr>
          <w:rFonts w:ascii="Times New Roman" w:hAnsi="Times New Roman" w:cs="Times New Roman"/>
          <w:sz w:val="24"/>
          <w:szCs w:val="24"/>
        </w:rPr>
        <w:t xml:space="preserve"> štátnemu rozpočtu </w:t>
      </w:r>
      <w:r w:rsidR="00424B8B" w:rsidRPr="00D758FA">
        <w:rPr>
          <w:rFonts w:ascii="Times New Roman" w:hAnsi="Times New Roman" w:cs="Times New Roman"/>
          <w:sz w:val="24"/>
          <w:szCs w:val="24"/>
        </w:rPr>
        <w:t>podľa pokynov M</w:t>
      </w:r>
      <w:r w:rsidR="00DA4E90" w:rsidRPr="00D758FA">
        <w:rPr>
          <w:rFonts w:ascii="Times New Roman" w:hAnsi="Times New Roman" w:cs="Times New Roman"/>
          <w:sz w:val="24"/>
          <w:szCs w:val="24"/>
        </w:rPr>
        <w:t>inisterstva financií</w:t>
      </w:r>
      <w:r w:rsidR="00424B8B" w:rsidRPr="00D758FA">
        <w:rPr>
          <w:rFonts w:ascii="Times New Roman" w:hAnsi="Times New Roman" w:cs="Times New Roman"/>
          <w:sz w:val="24"/>
          <w:szCs w:val="24"/>
        </w:rPr>
        <w:t xml:space="preserve"> SR </w:t>
      </w:r>
      <w:r w:rsidR="00DA4E90" w:rsidRPr="00D758FA">
        <w:rPr>
          <w:rFonts w:ascii="Times New Roman" w:hAnsi="Times New Roman" w:cs="Times New Roman"/>
          <w:sz w:val="24"/>
          <w:szCs w:val="24"/>
        </w:rPr>
        <w:t>č.</w:t>
      </w:r>
      <w:r w:rsidR="003951F8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04A64" w:rsidRPr="00D758FA">
        <w:rPr>
          <w:rFonts w:ascii="Times New Roman" w:hAnsi="Times New Roman" w:cs="Times New Roman"/>
          <w:sz w:val="24"/>
          <w:szCs w:val="24"/>
        </w:rPr>
        <w:t xml:space="preserve">MF/006354/2023-441 </w:t>
      </w:r>
      <w:r w:rsidR="00DA4E90" w:rsidRPr="00D758FA">
        <w:rPr>
          <w:rFonts w:ascii="Times New Roman" w:hAnsi="Times New Roman" w:cs="Times New Roman"/>
          <w:sz w:val="24"/>
          <w:szCs w:val="24"/>
        </w:rPr>
        <w:t xml:space="preserve">na zúčtovanie finančných vzťahov so štátnym rozpočtom za </w:t>
      </w:r>
      <w:r w:rsidR="00424B8B" w:rsidRPr="00D758FA">
        <w:rPr>
          <w:rFonts w:ascii="Times New Roman" w:hAnsi="Times New Roman" w:cs="Times New Roman"/>
          <w:sz w:val="24"/>
          <w:szCs w:val="24"/>
        </w:rPr>
        <w:t>rok 202</w:t>
      </w:r>
      <w:r w:rsidR="00BD654B" w:rsidRPr="00D758FA">
        <w:rPr>
          <w:rFonts w:ascii="Times New Roman" w:hAnsi="Times New Roman" w:cs="Times New Roman"/>
          <w:sz w:val="24"/>
          <w:szCs w:val="24"/>
        </w:rPr>
        <w:t>2</w:t>
      </w:r>
      <w:r w:rsidR="00424B8B" w:rsidRPr="00D758FA">
        <w:rPr>
          <w:rFonts w:ascii="Times New Roman" w:hAnsi="Times New Roman" w:cs="Times New Roman"/>
          <w:sz w:val="24"/>
          <w:szCs w:val="24"/>
        </w:rPr>
        <w:t>.</w:t>
      </w:r>
    </w:p>
    <w:p w14:paraId="2DA2D47A" w14:textId="77777777" w:rsidR="00282E70" w:rsidRPr="00D758FA" w:rsidRDefault="00282E70" w:rsidP="00A43E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ABE2735" w14:textId="331F217B" w:rsidR="004E0A4E" w:rsidRPr="00D758FA" w:rsidRDefault="002E0CF8" w:rsidP="00B51BC6">
      <w:pPr>
        <w:pStyle w:val="Nadpis1"/>
        <w:numPr>
          <w:ilvl w:val="0"/>
          <w:numId w:val="15"/>
        </w:numPr>
        <w:spacing w:before="0"/>
        <w:rPr>
          <w:rFonts w:cs="Times New Roman"/>
        </w:rPr>
      </w:pPr>
      <w:r w:rsidRPr="00D758FA">
        <w:rPr>
          <w:rFonts w:cs="Times New Roman"/>
        </w:rPr>
        <w:lastRenderedPageBreak/>
        <w:t xml:space="preserve">Rozpočtové </w:t>
      </w:r>
      <w:r w:rsidR="007723EA" w:rsidRPr="00D758FA">
        <w:rPr>
          <w:rFonts w:cs="Times New Roman"/>
        </w:rPr>
        <w:t>hospodárenie</w:t>
      </w:r>
    </w:p>
    <w:p w14:paraId="09E44AB7" w14:textId="77777777" w:rsidR="0066702D" w:rsidRPr="00D758FA" w:rsidRDefault="0066702D" w:rsidP="006670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57BC56" w14:textId="273A143D" w:rsidR="0054001A" w:rsidRPr="00D758FA" w:rsidRDefault="008B0BA9" w:rsidP="00667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Rozpočet mesta Šaľa na rok 202</w:t>
      </w:r>
      <w:r w:rsidR="00BD654B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 bol schválený Uznesením MsZ č. </w:t>
      </w:r>
      <w:r w:rsidR="00682AEB" w:rsidRPr="00D758FA">
        <w:rPr>
          <w:rFonts w:ascii="Times New Roman" w:hAnsi="Times New Roman" w:cs="Times New Roman"/>
          <w:sz w:val="24"/>
          <w:szCs w:val="24"/>
        </w:rPr>
        <w:t>7</w:t>
      </w:r>
      <w:r w:rsidRPr="00D758FA">
        <w:rPr>
          <w:rFonts w:ascii="Times New Roman" w:hAnsi="Times New Roman" w:cs="Times New Roman"/>
          <w:sz w:val="24"/>
          <w:szCs w:val="24"/>
        </w:rPr>
        <w:t>/202</w:t>
      </w:r>
      <w:r w:rsidR="00682AEB" w:rsidRPr="00D758FA">
        <w:rPr>
          <w:rFonts w:ascii="Times New Roman" w:hAnsi="Times New Roman" w:cs="Times New Roman"/>
          <w:sz w:val="24"/>
          <w:szCs w:val="24"/>
        </w:rPr>
        <w:t>1</w:t>
      </w:r>
      <w:r w:rsidRPr="00D758FA">
        <w:rPr>
          <w:rFonts w:ascii="Times New Roman" w:hAnsi="Times New Roman" w:cs="Times New Roman"/>
          <w:sz w:val="24"/>
          <w:szCs w:val="24"/>
        </w:rPr>
        <w:t xml:space="preserve"> – </w:t>
      </w:r>
      <w:r w:rsidR="00682AEB" w:rsidRPr="00D758FA">
        <w:rPr>
          <w:rFonts w:ascii="Times New Roman" w:hAnsi="Times New Roman" w:cs="Times New Roman"/>
          <w:sz w:val="24"/>
          <w:szCs w:val="24"/>
        </w:rPr>
        <w:t>V</w:t>
      </w:r>
      <w:r w:rsidRPr="00D758FA">
        <w:rPr>
          <w:rFonts w:ascii="Times New Roman" w:hAnsi="Times New Roman" w:cs="Times New Roman"/>
          <w:sz w:val="24"/>
          <w:szCs w:val="24"/>
        </w:rPr>
        <w:t>II.</w:t>
      </w:r>
      <w:r w:rsidR="00C27DEB" w:rsidRPr="00D758F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dňa 0</w:t>
      </w:r>
      <w:r w:rsidR="00682AEB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>.12.202</w:t>
      </w:r>
      <w:r w:rsidR="00682AEB" w:rsidRPr="00D758FA">
        <w:rPr>
          <w:rFonts w:ascii="Times New Roman" w:hAnsi="Times New Roman" w:cs="Times New Roman"/>
          <w:sz w:val="24"/>
          <w:szCs w:val="24"/>
        </w:rPr>
        <w:t>1</w:t>
      </w:r>
      <w:r w:rsidRPr="00D758FA">
        <w:rPr>
          <w:rFonts w:ascii="Times New Roman" w:hAnsi="Times New Roman" w:cs="Times New Roman"/>
          <w:sz w:val="24"/>
          <w:szCs w:val="24"/>
        </w:rPr>
        <w:t xml:space="preserve">, 1. úprava rozpočtu bola schválená Uznesením MsZ č. </w:t>
      </w:r>
      <w:r w:rsidR="00682AEB" w:rsidRPr="00D758FA">
        <w:rPr>
          <w:rFonts w:ascii="Times New Roman" w:hAnsi="Times New Roman" w:cs="Times New Roman"/>
          <w:sz w:val="24"/>
          <w:szCs w:val="24"/>
        </w:rPr>
        <w:t>5</w:t>
      </w:r>
      <w:r w:rsidRPr="00D758FA">
        <w:rPr>
          <w:rFonts w:ascii="Times New Roman" w:hAnsi="Times New Roman" w:cs="Times New Roman"/>
          <w:sz w:val="24"/>
          <w:szCs w:val="24"/>
        </w:rPr>
        <w:t>/202</w:t>
      </w:r>
      <w:r w:rsidR="00682AEB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 – </w:t>
      </w:r>
      <w:r w:rsidR="00682AEB" w:rsidRPr="00D758FA">
        <w:rPr>
          <w:rFonts w:ascii="Times New Roman" w:hAnsi="Times New Roman" w:cs="Times New Roman"/>
          <w:sz w:val="24"/>
          <w:szCs w:val="24"/>
        </w:rPr>
        <w:t>VII</w:t>
      </w:r>
      <w:r w:rsidRPr="00D758FA">
        <w:rPr>
          <w:rFonts w:ascii="Times New Roman" w:hAnsi="Times New Roman" w:cs="Times New Roman"/>
          <w:sz w:val="24"/>
          <w:szCs w:val="24"/>
        </w:rPr>
        <w:t>I.</w:t>
      </w:r>
      <w:r w:rsidRPr="00D758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 xml:space="preserve">dňa </w:t>
      </w:r>
      <w:r w:rsidR="00682AEB" w:rsidRPr="00D758FA">
        <w:rPr>
          <w:rFonts w:ascii="Times New Roman" w:hAnsi="Times New Roman" w:cs="Times New Roman"/>
          <w:sz w:val="24"/>
          <w:szCs w:val="24"/>
        </w:rPr>
        <w:t>30</w:t>
      </w:r>
      <w:r w:rsidRPr="00D758FA">
        <w:rPr>
          <w:rFonts w:ascii="Times New Roman" w:hAnsi="Times New Roman" w:cs="Times New Roman"/>
          <w:sz w:val="24"/>
          <w:szCs w:val="24"/>
        </w:rPr>
        <w:t>.06.202</w:t>
      </w:r>
      <w:r w:rsidR="00682AEB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 a 2. úprava rozpočtu bola schválená Uznesením MsZ č. 7/202</w:t>
      </w:r>
      <w:r w:rsidR="00682AEB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 – V. dňa 2</w:t>
      </w:r>
      <w:r w:rsidR="00682AEB" w:rsidRPr="00D758FA">
        <w:rPr>
          <w:rFonts w:ascii="Times New Roman" w:hAnsi="Times New Roman" w:cs="Times New Roman"/>
          <w:sz w:val="24"/>
          <w:szCs w:val="24"/>
        </w:rPr>
        <w:t>0</w:t>
      </w:r>
      <w:r w:rsidRPr="00D758FA">
        <w:rPr>
          <w:rFonts w:ascii="Times New Roman" w:hAnsi="Times New Roman" w:cs="Times New Roman"/>
          <w:sz w:val="24"/>
          <w:szCs w:val="24"/>
        </w:rPr>
        <w:t>.1</w:t>
      </w:r>
      <w:r w:rsidR="00682AEB" w:rsidRPr="00D758FA">
        <w:rPr>
          <w:rFonts w:ascii="Times New Roman" w:hAnsi="Times New Roman" w:cs="Times New Roman"/>
          <w:sz w:val="24"/>
          <w:szCs w:val="24"/>
        </w:rPr>
        <w:t>0</w:t>
      </w:r>
      <w:r w:rsidRPr="00D758FA">
        <w:rPr>
          <w:rFonts w:ascii="Times New Roman" w:hAnsi="Times New Roman" w:cs="Times New Roman"/>
          <w:sz w:val="24"/>
          <w:szCs w:val="24"/>
        </w:rPr>
        <w:t>.202</w:t>
      </w:r>
      <w:r w:rsidR="00682AEB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46D46F4" w14:textId="77777777" w:rsidR="00C125DE" w:rsidRDefault="00C125DE" w:rsidP="00667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41D59469" w14:textId="4F05C3D6" w:rsidR="0054001A" w:rsidRPr="00C125DE" w:rsidRDefault="0054001A" w:rsidP="00667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Pôvodný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rozpočet</w:t>
      </w:r>
      <w:r w:rsidR="00C125D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roku 2022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 schválený ako </w:t>
      </w:r>
      <w:r w:rsidR="00C00CE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vyrovnaný,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</w:t>
      </w:r>
      <w:r w:rsidR="00C00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príjmami</w:t>
      </w:r>
      <w:r w:rsidR="00C00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C00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výdavkami</w:t>
      </w:r>
      <w:r w:rsidR="00C00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2D5FD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objeme</w:t>
      </w:r>
      <w:r w:rsidR="002D5FD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 </w:t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2</w:t>
      </w:r>
      <w:r w:rsidR="0057608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7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503 000</w:t>
      </w:r>
      <w:r w:rsidR="0057608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,00 </w:t>
      </w:r>
      <w:r w:rsidR="00C125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 EUR </w:t>
      </w:r>
      <w:r w:rsidR="00C125DE" w:rsidRPr="00C125D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C125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zostavený </w:t>
      </w:r>
      <w:r w:rsidR="00C125D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 členení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 súlade s § 10 ods. 3 zákona č. 583/2004 Z.z. o rozpočtových pravidlách územnej samosprávy nasledovne:</w:t>
      </w:r>
    </w:p>
    <w:p w14:paraId="39AB6AB1" w14:textId="2890FCD6" w:rsidR="0054001A" w:rsidRPr="00D758FA" w:rsidRDefault="0066702D" w:rsidP="00B51BC6">
      <w:pPr>
        <w:pStyle w:val="Odsekzoznamu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bežný rozpočet </w:t>
      </w:r>
    </w:p>
    <w:p w14:paraId="0028ED62" w14:textId="71285C76" w:rsidR="0054001A" w:rsidRPr="00D758FA" w:rsidRDefault="0054001A" w:rsidP="00B51BC6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bežné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príjmy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     </w:t>
      </w:r>
      <w:r w:rsidRPr="00D758FA">
        <w:rPr>
          <w:rFonts w:ascii="Times New Roman" w:hAnsi="Times New Roman" w:cs="Times New Roman"/>
          <w:sz w:val="24"/>
          <w:szCs w:val="24"/>
        </w:rPr>
        <w:t>2</w:t>
      </w:r>
      <w:r w:rsidR="00682AEB" w:rsidRPr="00D758FA">
        <w:rPr>
          <w:rFonts w:ascii="Times New Roman" w:hAnsi="Times New Roman" w:cs="Times New Roman"/>
          <w:sz w:val="24"/>
          <w:szCs w:val="24"/>
        </w:rPr>
        <w:t>1</w:t>
      </w:r>
      <w:r w:rsidR="003C170E" w:rsidRPr="00D758FA">
        <w:rPr>
          <w:rFonts w:ascii="Times New Roman" w:hAnsi="Times New Roman" w:cs="Times New Roman"/>
          <w:sz w:val="24"/>
          <w:szCs w:val="24"/>
        </w:rPr>
        <w:t> </w:t>
      </w:r>
      <w:r w:rsidR="00682AEB" w:rsidRPr="00D758FA">
        <w:rPr>
          <w:rFonts w:ascii="Times New Roman" w:hAnsi="Times New Roman" w:cs="Times New Roman"/>
          <w:sz w:val="24"/>
          <w:szCs w:val="24"/>
        </w:rPr>
        <w:t>261</w:t>
      </w:r>
      <w:r w:rsidR="003C170E" w:rsidRPr="00D758FA">
        <w:rPr>
          <w:rFonts w:ascii="Times New Roman" w:hAnsi="Times New Roman" w:cs="Times New Roman"/>
          <w:sz w:val="24"/>
          <w:szCs w:val="24"/>
        </w:rPr>
        <w:t> </w:t>
      </w:r>
      <w:r w:rsidR="00682AEB" w:rsidRPr="00D758FA">
        <w:rPr>
          <w:rFonts w:ascii="Times New Roman" w:hAnsi="Times New Roman" w:cs="Times New Roman"/>
          <w:sz w:val="24"/>
          <w:szCs w:val="24"/>
        </w:rPr>
        <w:t>8</w:t>
      </w:r>
      <w:r w:rsidR="003C170E" w:rsidRPr="00D758FA">
        <w:rPr>
          <w:rFonts w:ascii="Times New Roman" w:hAnsi="Times New Roman" w:cs="Times New Roman"/>
          <w:sz w:val="24"/>
          <w:szCs w:val="24"/>
        </w:rPr>
        <w:t>20,00</w:t>
      </w:r>
      <w:r w:rsidRPr="00D758FA">
        <w:rPr>
          <w:rFonts w:ascii="Times New Roman" w:hAnsi="Times New Roman" w:cs="Times New Roman"/>
          <w:sz w:val="24"/>
          <w:szCs w:val="24"/>
        </w:rPr>
        <w:t>  EUR</w:t>
      </w:r>
    </w:p>
    <w:p w14:paraId="3D277D5A" w14:textId="4768D9FA" w:rsidR="0054001A" w:rsidRPr="00D758FA" w:rsidRDefault="0054001A" w:rsidP="00B51BC6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bežné výdavky    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     </w:t>
      </w:r>
      <w:r w:rsidRPr="00D758FA">
        <w:rPr>
          <w:rFonts w:ascii="Times New Roman" w:hAnsi="Times New Roman" w:cs="Times New Roman"/>
          <w:sz w:val="24"/>
          <w:szCs w:val="24"/>
        </w:rPr>
        <w:t>20</w:t>
      </w:r>
      <w:r w:rsidR="00682AEB" w:rsidRPr="00D758FA">
        <w:rPr>
          <w:rFonts w:ascii="Times New Roman" w:hAnsi="Times New Roman" w:cs="Times New Roman"/>
          <w:sz w:val="24"/>
          <w:szCs w:val="24"/>
        </w:rPr>
        <w:t> 955 610</w:t>
      </w:r>
      <w:r w:rsidR="003C170E" w:rsidRPr="00D758FA">
        <w:rPr>
          <w:rFonts w:ascii="Times New Roman" w:hAnsi="Times New Roman" w:cs="Times New Roman"/>
          <w:sz w:val="24"/>
          <w:szCs w:val="24"/>
        </w:rPr>
        <w:t>,00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3C170E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EUR</w:t>
      </w:r>
    </w:p>
    <w:p w14:paraId="2F00BABE" w14:textId="4EF2AD5B" w:rsidR="0054001A" w:rsidRPr="00D758FA" w:rsidRDefault="0054001A" w:rsidP="0066702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306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21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0,00</w:t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hAnsi="Times New Roman" w:cs="Times New Roman"/>
          <w:b/>
          <w:sz w:val="24"/>
          <w:szCs w:val="24"/>
        </w:rPr>
        <w:t>EUR</w:t>
      </w:r>
    </w:p>
    <w:p w14:paraId="4A08D31B" w14:textId="3A35652E" w:rsidR="0054001A" w:rsidRPr="00D758FA" w:rsidRDefault="0066702D" w:rsidP="00B51BC6">
      <w:pPr>
        <w:pStyle w:val="Odsekzoznamu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kapitálový rozpočet </w:t>
      </w:r>
    </w:p>
    <w:p w14:paraId="4F97829B" w14:textId="5655C2A0" w:rsidR="0054001A" w:rsidRPr="00D758FA" w:rsidRDefault="0054001A" w:rsidP="00B51BC6">
      <w:pPr>
        <w:pStyle w:val="Odsekzoznamu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kapitálové príjmy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1 824 380</w:t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EUR</w:t>
      </w:r>
    </w:p>
    <w:p w14:paraId="027A5F4F" w14:textId="2F9D2A5A" w:rsidR="0054001A" w:rsidRPr="00D758FA" w:rsidRDefault="0054001A" w:rsidP="00B51BC6">
      <w:pPr>
        <w:pStyle w:val="Odsekzoznamu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kapitálové výdavky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5 019 690</w:t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</w:p>
    <w:p w14:paraId="2BA71BDD" w14:textId="18CDDDB4" w:rsidR="0054001A" w:rsidRPr="00D758FA" w:rsidRDefault="0054001A" w:rsidP="008F4F4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schodok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C00CE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      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-</w:t>
      </w:r>
      <w:r w:rsidR="00C00CE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3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195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31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0,00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14:paraId="44E4AFAD" w14:textId="096FAC63" w:rsidR="0054001A" w:rsidRPr="00D758FA" w:rsidRDefault="0066702D" w:rsidP="00B51BC6">
      <w:pPr>
        <w:pStyle w:val="Odsekzoznamu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operácie </w:t>
      </w:r>
    </w:p>
    <w:p w14:paraId="143447C8" w14:textId="1BF2D658" w:rsidR="0054001A" w:rsidRPr="00D758FA" w:rsidRDefault="0054001A" w:rsidP="00B51BC6">
      <w:pPr>
        <w:pStyle w:val="Odsekzoznamu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operácie príjmové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416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800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</w:t>
      </w:r>
    </w:p>
    <w:p w14:paraId="34B28585" w14:textId="203AF9EE" w:rsidR="0054001A" w:rsidRPr="00D758FA" w:rsidRDefault="0054001A" w:rsidP="00B51BC6">
      <w:pPr>
        <w:pStyle w:val="Odsekzoznamu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operácie výdavkové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1 527 7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00,00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</w:p>
    <w:p w14:paraId="3FB90C31" w14:textId="0C16601F" w:rsidR="0054001A" w:rsidRPr="00D758FA" w:rsidRDefault="0054001A" w:rsidP="002E1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2E1EA2" w:rsidRPr="002E1E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 w:rsidR="002E1EA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      </w:t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ab/>
      </w:r>
      <w:r w:rsidR="0057608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2</w:t>
      </w:r>
      <w:r w:rsidR="00682AEB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889 100</w:t>
      </w:r>
      <w:r w:rsidR="0057608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1C0183FA" w14:textId="77777777" w:rsidR="008D6CCE" w:rsidRPr="00D758FA" w:rsidRDefault="008D6CCE" w:rsidP="008D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6B2921" w14:textId="4224F443" w:rsidR="00380143" w:rsidRPr="00D758FA" w:rsidRDefault="00380143" w:rsidP="008D6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Po druhej úprave bol rozpočet schválený s príjmami v objeme </w:t>
      </w:r>
      <w:r w:rsidRPr="00D758FA">
        <w:rPr>
          <w:rFonts w:ascii="Times New Roman" w:hAnsi="Times New Roman" w:cs="Times New Roman"/>
          <w:b/>
          <w:sz w:val="24"/>
          <w:szCs w:val="24"/>
        </w:rPr>
        <w:t>2</w:t>
      </w:r>
      <w:r w:rsidR="00247F1C">
        <w:rPr>
          <w:rFonts w:ascii="Times New Roman" w:hAnsi="Times New Roman" w:cs="Times New Roman"/>
          <w:b/>
          <w:sz w:val="24"/>
          <w:szCs w:val="24"/>
        </w:rPr>
        <w:t xml:space="preserve">8 242 </w:t>
      </w:r>
      <w:r w:rsidR="005B16C8" w:rsidRPr="00D758FA">
        <w:rPr>
          <w:rFonts w:ascii="Times New Roman" w:hAnsi="Times New Roman" w:cs="Times New Roman"/>
          <w:b/>
          <w:sz w:val="24"/>
          <w:szCs w:val="24"/>
        </w:rPr>
        <w:t>727</w:t>
      </w:r>
      <w:r w:rsidRPr="00D758FA">
        <w:rPr>
          <w:rFonts w:ascii="Times New Roman" w:hAnsi="Times New Roman" w:cs="Times New Roman"/>
          <w:b/>
          <w:sz w:val="24"/>
          <w:szCs w:val="24"/>
        </w:rPr>
        <w:t>,00 EUR</w:t>
      </w:r>
      <w:r w:rsidRPr="00D758FA">
        <w:rPr>
          <w:rFonts w:ascii="Times New Roman" w:hAnsi="Times New Roman" w:cs="Times New Roman"/>
          <w:sz w:val="24"/>
          <w:szCs w:val="24"/>
        </w:rPr>
        <w:t xml:space="preserve"> a výdavkami  </w:t>
      </w:r>
      <w:r w:rsidRPr="00D758FA">
        <w:rPr>
          <w:rFonts w:ascii="Times New Roman" w:hAnsi="Times New Roman" w:cs="Times New Roman"/>
          <w:b/>
          <w:sz w:val="24"/>
          <w:szCs w:val="24"/>
        </w:rPr>
        <w:t>2</w:t>
      </w:r>
      <w:r w:rsidR="005B16C8" w:rsidRPr="00D758FA">
        <w:rPr>
          <w:rFonts w:ascii="Times New Roman" w:hAnsi="Times New Roman" w:cs="Times New Roman"/>
          <w:b/>
          <w:sz w:val="24"/>
          <w:szCs w:val="24"/>
        </w:rPr>
        <w:t>8 242 727</w:t>
      </w:r>
      <w:r w:rsidRPr="00D758FA">
        <w:rPr>
          <w:rFonts w:ascii="Times New Roman" w:hAnsi="Times New Roman" w:cs="Times New Roman"/>
          <w:b/>
          <w:sz w:val="24"/>
          <w:szCs w:val="24"/>
        </w:rPr>
        <w:t>,00 EUR</w:t>
      </w:r>
      <w:r w:rsidR="00DC5566">
        <w:rPr>
          <w:rFonts w:ascii="Times New Roman" w:hAnsi="Times New Roman" w:cs="Times New Roman"/>
          <w:b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ako </w:t>
      </w:r>
      <w:r w:rsidR="005B16C8" w:rsidRPr="00D758FA">
        <w:rPr>
          <w:rFonts w:ascii="Times New Roman" w:hAnsi="Times New Roman" w:cs="Times New Roman"/>
          <w:sz w:val="24"/>
          <w:szCs w:val="24"/>
        </w:rPr>
        <w:t>vyrovnaný</w:t>
      </w:r>
      <w:r w:rsidR="00B157C3" w:rsidRPr="00D758FA">
        <w:rPr>
          <w:rFonts w:ascii="Times New Roman" w:hAnsi="Times New Roman" w:cs="Times New Roman"/>
          <w:sz w:val="24"/>
          <w:szCs w:val="24"/>
        </w:rPr>
        <w:t xml:space="preserve"> nasledovne:</w:t>
      </w:r>
    </w:p>
    <w:p w14:paraId="3C51D234" w14:textId="77777777" w:rsidR="00476E05" w:rsidRPr="00D758FA" w:rsidRDefault="00476E05" w:rsidP="00476E05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bežný rozpočet :</w:t>
      </w:r>
    </w:p>
    <w:p w14:paraId="29F9FA6C" w14:textId="45988C6A" w:rsidR="00476E05" w:rsidRPr="00D758FA" w:rsidRDefault="00476E05" w:rsidP="00476E05">
      <w:pPr>
        <w:pStyle w:val="Odsekzoznamu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bežné príjmy                                                                 </w:t>
      </w:r>
      <w:r w:rsidRPr="00D758FA">
        <w:rPr>
          <w:rFonts w:ascii="Times New Roman" w:hAnsi="Times New Roman" w:cs="Times New Roman"/>
          <w:sz w:val="24"/>
          <w:szCs w:val="24"/>
        </w:rPr>
        <w:t>2</w:t>
      </w:r>
      <w:r w:rsidR="00BF2551" w:rsidRPr="00D758FA">
        <w:rPr>
          <w:rFonts w:ascii="Times New Roman" w:hAnsi="Times New Roman" w:cs="Times New Roman"/>
          <w:sz w:val="24"/>
          <w:szCs w:val="24"/>
        </w:rPr>
        <w:t>2 783 600</w:t>
      </w:r>
      <w:r w:rsidRPr="00D758FA">
        <w:rPr>
          <w:rFonts w:ascii="Times New Roman" w:hAnsi="Times New Roman" w:cs="Times New Roman"/>
          <w:sz w:val="24"/>
          <w:szCs w:val="24"/>
        </w:rPr>
        <w:t>,00  EUR</w:t>
      </w:r>
    </w:p>
    <w:p w14:paraId="7608B96D" w14:textId="52EA11C6" w:rsidR="00476E05" w:rsidRPr="00D758FA" w:rsidRDefault="00476E05" w:rsidP="00476E05">
      <w:pPr>
        <w:pStyle w:val="Odsekzoznamu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bežné výdavky                                                              </w:t>
      </w:r>
      <w:r w:rsidRPr="00D758FA">
        <w:rPr>
          <w:rFonts w:ascii="Times New Roman" w:hAnsi="Times New Roman" w:cs="Times New Roman"/>
          <w:sz w:val="24"/>
          <w:szCs w:val="24"/>
        </w:rPr>
        <w:t>2</w:t>
      </w:r>
      <w:r w:rsidR="00BF2551" w:rsidRPr="00D758FA">
        <w:rPr>
          <w:rFonts w:ascii="Times New Roman" w:hAnsi="Times New Roman" w:cs="Times New Roman"/>
          <w:sz w:val="24"/>
          <w:szCs w:val="24"/>
        </w:rPr>
        <w:t>2 953 645</w:t>
      </w:r>
      <w:r w:rsidRPr="00D758FA">
        <w:rPr>
          <w:rFonts w:ascii="Times New Roman" w:hAnsi="Times New Roman" w:cs="Times New Roman"/>
          <w:sz w:val="24"/>
          <w:szCs w:val="24"/>
        </w:rPr>
        <w:t>,00  EUR</w:t>
      </w:r>
    </w:p>
    <w:p w14:paraId="47BE93A4" w14:textId="5DED7448" w:rsidR="00476E05" w:rsidRPr="00D758FA" w:rsidRDefault="003806B9" w:rsidP="008F4F46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schodok</w:t>
      </w:r>
      <w:r w:rsidR="00476E05" w:rsidRPr="00D758FA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   </w:t>
      </w:r>
      <w:r w:rsidR="00476E05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                                     </w:t>
      </w:r>
      <w:r w:rsidR="008F4F46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                              </w:t>
      </w:r>
      <w:r w:rsidR="00476E05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  <w:r w:rsidR="008F4F46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    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- 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  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170 045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,00  </w:t>
      </w:r>
      <w:r w:rsidR="00476E05" w:rsidRPr="00D758FA">
        <w:rPr>
          <w:rFonts w:ascii="Times New Roman" w:hAnsi="Times New Roman" w:cs="Times New Roman"/>
          <w:b/>
          <w:bCs/>
          <w:sz w:val="24"/>
          <w:szCs w:val="24"/>
        </w:rPr>
        <w:t>EUR</w:t>
      </w:r>
    </w:p>
    <w:p w14:paraId="7532DCF5" w14:textId="77777777" w:rsidR="00476E05" w:rsidRPr="00D758FA" w:rsidRDefault="00476E05" w:rsidP="00476E05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kapitálový rozpočet :</w:t>
      </w:r>
    </w:p>
    <w:p w14:paraId="3B538FCD" w14:textId="37AF15F4" w:rsidR="00476E05" w:rsidRPr="00D758FA" w:rsidRDefault="00476E05" w:rsidP="00476E05">
      <w:pPr>
        <w:pStyle w:val="Odsekzoznamu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kapitálové príjmy                                               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   568 103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0FC07B6D" w14:textId="42A16292" w:rsidR="00476E05" w:rsidRPr="00D758FA" w:rsidRDefault="00476E05" w:rsidP="00476E05">
      <w:pPr>
        <w:pStyle w:val="Odsekzoznamu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kapitálové výdavky                                                      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  3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797 554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664BB0CE" w14:textId="2CDA038B" w:rsidR="00476E05" w:rsidRPr="00D758FA" w:rsidRDefault="003806B9" w:rsidP="008F4F46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schodok</w:t>
      </w:r>
      <w:r w:rsidR="00476E05" w:rsidRPr="00D758FA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    </w:t>
      </w:r>
      <w:r w:rsidR="00476E05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                                                           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         </w:t>
      </w:r>
      <w:r w:rsidR="008F4F46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    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-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3 </w:t>
      </w:r>
      <w:r w:rsidR="005B16C8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2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29 451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,00  EUR</w:t>
      </w:r>
      <w:r w:rsidR="00476E05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14:paraId="00CAAF1F" w14:textId="5DA218BB" w:rsidR="00476E05" w:rsidRPr="00D758FA" w:rsidRDefault="00476E05" w:rsidP="00476E05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finančné operá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cie:</w:t>
      </w:r>
    </w:p>
    <w:p w14:paraId="7AACFB65" w14:textId="1F9ECB45" w:rsidR="00476E05" w:rsidRPr="00D758FA" w:rsidRDefault="00476E05" w:rsidP="00476E05">
      <w:pPr>
        <w:pStyle w:val="Odsekzoznamu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finančné operácie príjmové                                             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4 891 024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5935484E" w14:textId="75594E40" w:rsidR="00476E05" w:rsidRPr="00D758FA" w:rsidRDefault="00476E05" w:rsidP="00476E05">
      <w:pPr>
        <w:pStyle w:val="Odsekzoznamu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finančné operácie výdavkové                                          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1 491 528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169E242D" w14:textId="10A63B47" w:rsidR="00380143" w:rsidRPr="00D758FA" w:rsidRDefault="002E1EA2" w:rsidP="008F4F46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  <w:t xml:space="preserve"> 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3 399 496,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00  EUR</w:t>
      </w:r>
    </w:p>
    <w:p w14:paraId="43AEAAAE" w14:textId="77777777" w:rsidR="005B16C8" w:rsidRPr="00D758FA" w:rsidRDefault="005B16C8" w:rsidP="003801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3153D" w14:textId="3A58842B" w:rsidR="00832154" w:rsidRPr="00D758FA" w:rsidRDefault="008D6CCE" w:rsidP="0038014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V priebehu roka 202</w:t>
      </w:r>
      <w:r w:rsidR="00BF2551" w:rsidRPr="00D758FA">
        <w:rPr>
          <w:rFonts w:ascii="Times New Roman" w:hAnsi="Times New Roman" w:cs="Times New Roman"/>
          <w:sz w:val="24"/>
          <w:szCs w:val="24"/>
        </w:rPr>
        <w:t>2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B4A2F" w:rsidRPr="00D758FA">
        <w:rPr>
          <w:rFonts w:ascii="Times New Roman" w:hAnsi="Times New Roman" w:cs="Times New Roman"/>
          <w:sz w:val="24"/>
          <w:szCs w:val="24"/>
        </w:rPr>
        <w:t xml:space="preserve"> mesto pristúpilo  </w:t>
      </w:r>
      <w:r w:rsidRPr="00D758FA">
        <w:rPr>
          <w:rFonts w:ascii="Times New Roman" w:hAnsi="Times New Roman" w:cs="Times New Roman"/>
          <w:sz w:val="24"/>
          <w:szCs w:val="24"/>
        </w:rPr>
        <w:t>v </w:t>
      </w:r>
      <w:r w:rsidR="00380143" w:rsidRPr="00D758FA">
        <w:rPr>
          <w:rFonts w:ascii="Times New Roman" w:hAnsi="Times New Roman" w:cs="Times New Roman"/>
          <w:sz w:val="24"/>
          <w:szCs w:val="24"/>
        </w:rPr>
        <w:t>súlade s § 14 ods. 2 písm. a) zákona č. 583/2004 Z.z. o rozpočtových pravidlách územnej samosprávy a</w:t>
      </w:r>
      <w:r w:rsidR="00576083" w:rsidRPr="00D758FA">
        <w:rPr>
          <w:rFonts w:ascii="Times New Roman" w:hAnsi="Times New Roman" w:cs="Times New Roman"/>
          <w:sz w:val="24"/>
          <w:szCs w:val="24"/>
        </w:rPr>
        <w:t xml:space="preserve"> § 12 Ro</w:t>
      </w:r>
      <w:r w:rsidRPr="00D758FA">
        <w:rPr>
          <w:rFonts w:ascii="Times New Roman" w:hAnsi="Times New Roman" w:cs="Times New Roman"/>
          <w:sz w:val="24"/>
          <w:szCs w:val="24"/>
        </w:rPr>
        <w:t>zpočtových pravidiel mesta Šaľa</w:t>
      </w:r>
      <w:r w:rsidR="001B4A2F" w:rsidRPr="00D758FA">
        <w:rPr>
          <w:rFonts w:ascii="Times New Roman" w:hAnsi="Times New Roman" w:cs="Times New Roman"/>
          <w:sz w:val="24"/>
          <w:szCs w:val="24"/>
        </w:rPr>
        <w:t xml:space="preserve"> k schváleniu 49  rozpočtových  opatrení a 150 interných presunov finančných prostriedkov</w:t>
      </w:r>
      <w:r w:rsidR="007D3286" w:rsidRPr="007D3286">
        <w:rPr>
          <w:rFonts w:ascii="Times New Roman" w:hAnsi="Times New Roman" w:cs="Times New Roman"/>
          <w:sz w:val="24"/>
          <w:szCs w:val="24"/>
        </w:rPr>
        <w:t xml:space="preserve"> </w:t>
      </w:r>
      <w:r w:rsidR="007D3286" w:rsidRPr="00D758FA">
        <w:rPr>
          <w:rFonts w:ascii="Times New Roman" w:hAnsi="Times New Roman" w:cs="Times New Roman"/>
          <w:sz w:val="24"/>
          <w:szCs w:val="24"/>
        </w:rPr>
        <w:t>pri ktorých sa nemenila štruktúra schváleného rozpočtu na úrovni programov, podprogramov a prvkov.</w:t>
      </w:r>
      <w:r w:rsidR="007D328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942DF" w:rsidRPr="00D758FA">
        <w:rPr>
          <w:rFonts w:ascii="Times New Roman" w:hAnsi="Times New Roman" w:cs="Times New Roman"/>
          <w:sz w:val="24"/>
          <w:szCs w:val="24"/>
        </w:rPr>
        <w:t>Rozpočtové opatrenia boli vykonávané pr</w:t>
      </w:r>
      <w:r w:rsidR="00380143" w:rsidRPr="00D758FA">
        <w:rPr>
          <w:rFonts w:ascii="Times New Roman" w:hAnsi="Times New Roman" w:cs="Times New Roman"/>
          <w:sz w:val="24"/>
          <w:szCs w:val="24"/>
        </w:rPr>
        <w:t xml:space="preserve">esunmi finančných prostriedkov medzi </w:t>
      </w:r>
      <w:r w:rsidR="009942DF" w:rsidRPr="00D758FA">
        <w:rPr>
          <w:rFonts w:ascii="Times New Roman" w:hAnsi="Times New Roman" w:cs="Times New Roman"/>
          <w:sz w:val="24"/>
          <w:szCs w:val="24"/>
        </w:rPr>
        <w:t>jednotlivými položkami</w:t>
      </w:r>
      <w:r w:rsidR="00380143" w:rsidRPr="00D758FA">
        <w:rPr>
          <w:rFonts w:ascii="Times New Roman" w:hAnsi="Times New Roman" w:cs="Times New Roman"/>
          <w:sz w:val="24"/>
          <w:szCs w:val="24"/>
        </w:rPr>
        <w:t xml:space="preserve"> rozpočtu mesta v programoch </w:t>
      </w:r>
      <w:r w:rsidR="00F5691F" w:rsidRPr="00D758FA">
        <w:rPr>
          <w:rFonts w:ascii="Times New Roman" w:hAnsi="Times New Roman" w:cs="Times New Roman"/>
          <w:sz w:val="24"/>
          <w:szCs w:val="24"/>
        </w:rPr>
        <w:t xml:space="preserve">administratíva, </w:t>
      </w:r>
      <w:r w:rsidR="001B4A2F" w:rsidRPr="00D758FA">
        <w:rPr>
          <w:rFonts w:ascii="Times New Roman" w:hAnsi="Times New Roman" w:cs="Times New Roman"/>
          <w:sz w:val="24"/>
          <w:szCs w:val="24"/>
        </w:rPr>
        <w:t xml:space="preserve">plánovanie, kultúra, sociálna starostlivosť, </w:t>
      </w:r>
      <w:r w:rsidR="00F5691F" w:rsidRPr="00D758FA">
        <w:rPr>
          <w:rFonts w:ascii="Times New Roman" w:hAnsi="Times New Roman" w:cs="Times New Roman"/>
          <w:sz w:val="24"/>
          <w:szCs w:val="24"/>
        </w:rPr>
        <w:t>šport, bezpečnosť,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5691F" w:rsidRPr="00D758FA">
        <w:rPr>
          <w:rFonts w:ascii="Times New Roman" w:hAnsi="Times New Roman" w:cs="Times New Roman"/>
          <w:sz w:val="24"/>
          <w:szCs w:val="24"/>
        </w:rPr>
        <w:t xml:space="preserve">interné služby, odpadové hospodárstvo, služby občanom,  </w:t>
      </w:r>
      <w:r w:rsidR="001B4A2F" w:rsidRPr="00D758FA">
        <w:rPr>
          <w:rFonts w:ascii="Times New Roman" w:hAnsi="Times New Roman" w:cs="Times New Roman"/>
          <w:sz w:val="24"/>
          <w:szCs w:val="24"/>
        </w:rPr>
        <w:t xml:space="preserve">prostredie pre život, </w:t>
      </w:r>
      <w:r w:rsidR="00ED429F" w:rsidRPr="00D758FA">
        <w:rPr>
          <w:rFonts w:ascii="Times New Roman" w:hAnsi="Times New Roman" w:cs="Times New Roman"/>
          <w:sz w:val="24"/>
          <w:szCs w:val="24"/>
        </w:rPr>
        <w:t>vzdeláva</w:t>
      </w:r>
      <w:r w:rsidR="00380143" w:rsidRPr="00D758FA">
        <w:rPr>
          <w:rFonts w:ascii="Times New Roman" w:hAnsi="Times New Roman" w:cs="Times New Roman"/>
          <w:sz w:val="24"/>
          <w:szCs w:val="24"/>
        </w:rPr>
        <w:t>nie</w:t>
      </w:r>
      <w:r w:rsidR="00F5691F" w:rsidRPr="00D758FA">
        <w:rPr>
          <w:rFonts w:ascii="Times New Roman" w:hAnsi="Times New Roman" w:cs="Times New Roman"/>
          <w:sz w:val="24"/>
          <w:szCs w:val="24"/>
        </w:rPr>
        <w:t xml:space="preserve"> a </w:t>
      </w:r>
      <w:r w:rsidR="009942DF" w:rsidRPr="00D758FA">
        <w:rPr>
          <w:rFonts w:ascii="Times New Roman" w:hAnsi="Times New Roman" w:cs="Times New Roman"/>
          <w:sz w:val="24"/>
          <w:szCs w:val="24"/>
        </w:rPr>
        <w:t>komunikácie</w:t>
      </w:r>
      <w:r w:rsidR="00F5691F" w:rsidRPr="00D758FA">
        <w:rPr>
          <w:rFonts w:ascii="Times New Roman" w:hAnsi="Times New Roman" w:cs="Times New Roman"/>
          <w:sz w:val="24"/>
          <w:szCs w:val="24"/>
        </w:rPr>
        <w:t>.</w:t>
      </w:r>
      <w:r w:rsidR="009942DF" w:rsidRPr="00D758FA">
        <w:rPr>
          <w:rFonts w:ascii="Times New Roman" w:hAnsi="Times New Roman" w:cs="Times New Roman"/>
          <w:sz w:val="24"/>
          <w:szCs w:val="24"/>
        </w:rPr>
        <w:t xml:space="preserve"> K</w:t>
      </w:r>
      <w:r w:rsidR="007A40EC" w:rsidRPr="00D758FA">
        <w:rPr>
          <w:rFonts w:ascii="Times New Roman" w:hAnsi="Times New Roman" w:cs="Times New Roman"/>
          <w:sz w:val="24"/>
          <w:szCs w:val="24"/>
        </w:rPr>
        <w:t> </w:t>
      </w:r>
      <w:r w:rsidR="009942DF" w:rsidRPr="00D758FA">
        <w:rPr>
          <w:rFonts w:ascii="Times New Roman" w:hAnsi="Times New Roman" w:cs="Times New Roman"/>
          <w:sz w:val="24"/>
          <w:szCs w:val="24"/>
        </w:rPr>
        <w:t>presunom</w:t>
      </w:r>
      <w:r w:rsidR="007A40EC" w:rsidRPr="00D758FA">
        <w:rPr>
          <w:rFonts w:ascii="Times New Roman" w:hAnsi="Times New Roman" w:cs="Times New Roman"/>
          <w:sz w:val="24"/>
          <w:szCs w:val="24"/>
        </w:rPr>
        <w:t xml:space="preserve"> finančných prostriedkov </w:t>
      </w:r>
      <w:r w:rsidR="009942DF" w:rsidRPr="00D758FA">
        <w:rPr>
          <w:rFonts w:ascii="Times New Roman" w:hAnsi="Times New Roman" w:cs="Times New Roman"/>
          <w:sz w:val="24"/>
          <w:szCs w:val="24"/>
        </w:rPr>
        <w:t>dochádzalo</w:t>
      </w:r>
      <w:r w:rsidR="007A40EC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380143" w:rsidRPr="00D758FA">
        <w:rPr>
          <w:rFonts w:ascii="Times New Roman" w:hAnsi="Times New Roman" w:cs="Times New Roman"/>
          <w:sz w:val="24"/>
          <w:szCs w:val="24"/>
        </w:rPr>
        <w:t>z titulu</w:t>
      </w:r>
      <w:r w:rsidR="009942DF" w:rsidRPr="00D758FA">
        <w:rPr>
          <w:rFonts w:ascii="Times New Roman" w:hAnsi="Times New Roman" w:cs="Times New Roman"/>
          <w:sz w:val="24"/>
          <w:szCs w:val="24"/>
        </w:rPr>
        <w:t xml:space="preserve"> nerealizovan</w:t>
      </w:r>
      <w:r w:rsidR="00380143" w:rsidRPr="00D758FA">
        <w:rPr>
          <w:rFonts w:ascii="Times New Roman" w:hAnsi="Times New Roman" w:cs="Times New Roman"/>
          <w:sz w:val="24"/>
          <w:szCs w:val="24"/>
        </w:rPr>
        <w:t>ia niektorých projektov</w:t>
      </w:r>
      <w:r w:rsidR="00445617" w:rsidRPr="00D758FA">
        <w:rPr>
          <w:rFonts w:ascii="Times New Roman" w:hAnsi="Times New Roman" w:cs="Times New Roman"/>
          <w:sz w:val="24"/>
          <w:szCs w:val="24"/>
        </w:rPr>
        <w:t xml:space="preserve"> a </w:t>
      </w:r>
      <w:r w:rsidR="009942DF" w:rsidRPr="00D758FA">
        <w:rPr>
          <w:rFonts w:ascii="Times New Roman" w:hAnsi="Times New Roman" w:cs="Times New Roman"/>
          <w:sz w:val="24"/>
          <w:szCs w:val="24"/>
        </w:rPr>
        <w:t>z dôvodu zreálnenia príjmových položiek na základe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380143" w:rsidRPr="00D758FA">
        <w:rPr>
          <w:rFonts w:ascii="Times New Roman" w:hAnsi="Times New Roman" w:cs="Times New Roman"/>
          <w:sz w:val="24"/>
          <w:szCs w:val="24"/>
        </w:rPr>
        <w:t>skutočne dosiahnutých príjmov,</w:t>
      </w:r>
      <w:r w:rsidR="009942DF" w:rsidRPr="00D758FA">
        <w:rPr>
          <w:rFonts w:ascii="Times New Roman" w:hAnsi="Times New Roman" w:cs="Times New Roman"/>
          <w:sz w:val="24"/>
          <w:szCs w:val="24"/>
        </w:rPr>
        <w:t xml:space="preserve"> ako aj nepredvídaných výdavkovýc</w:t>
      </w:r>
      <w:r w:rsidR="007A40EC" w:rsidRPr="00D758FA">
        <w:rPr>
          <w:rFonts w:ascii="Times New Roman" w:hAnsi="Times New Roman" w:cs="Times New Roman"/>
          <w:sz w:val="24"/>
          <w:szCs w:val="24"/>
        </w:rPr>
        <w:t>h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7A40EC" w:rsidRPr="00D758FA">
        <w:rPr>
          <w:rFonts w:ascii="Times New Roman" w:hAnsi="Times New Roman" w:cs="Times New Roman"/>
          <w:sz w:val="24"/>
          <w:szCs w:val="24"/>
        </w:rPr>
        <w:t>položiek</w:t>
      </w:r>
      <w:r w:rsidR="00ED429F" w:rsidRPr="00D758FA">
        <w:rPr>
          <w:rFonts w:ascii="Times New Roman" w:hAnsi="Times New Roman" w:cs="Times New Roman"/>
          <w:sz w:val="24"/>
          <w:szCs w:val="24"/>
        </w:rPr>
        <w:t xml:space="preserve">. </w:t>
      </w:r>
      <w:r w:rsidR="00380143" w:rsidRPr="00D758FA">
        <w:rPr>
          <w:rFonts w:ascii="Times New Roman" w:hAnsi="Times New Roman" w:cs="Times New Roman"/>
          <w:sz w:val="24"/>
          <w:szCs w:val="24"/>
        </w:rPr>
        <w:t xml:space="preserve">Tieto výdavky súviseli napr. </w:t>
      </w:r>
      <w:r w:rsidR="00D16EE8" w:rsidRPr="00D758FA">
        <w:rPr>
          <w:rFonts w:ascii="Times New Roman" w:hAnsi="Times New Roman" w:cs="Times New Roman"/>
          <w:sz w:val="24"/>
          <w:szCs w:val="24"/>
        </w:rPr>
        <w:t xml:space="preserve">s </w:t>
      </w:r>
      <w:r w:rsidR="003B3338" w:rsidRPr="00D758FA">
        <w:rPr>
          <w:rFonts w:ascii="Times New Roman" w:hAnsi="Times New Roman" w:cs="Times New Roman"/>
          <w:sz w:val="24"/>
          <w:szCs w:val="24"/>
        </w:rPr>
        <w:t xml:space="preserve">vývozom biologického odpadu, </w:t>
      </w:r>
      <w:r w:rsidR="00D16EE8" w:rsidRPr="00D758FA">
        <w:rPr>
          <w:rFonts w:ascii="Times New Roman" w:hAnsi="Times New Roman" w:cs="Times New Roman"/>
          <w:sz w:val="24"/>
          <w:szCs w:val="24"/>
        </w:rPr>
        <w:t xml:space="preserve">uložením odpadu, údržbou a drobnými opravami bytov vo vlastníctve mesta, vyplatením </w:t>
      </w:r>
      <w:r w:rsidR="00D16EE8" w:rsidRPr="00D758FA">
        <w:rPr>
          <w:rFonts w:ascii="Times New Roman" w:hAnsi="Times New Roman" w:cs="Times New Roman"/>
          <w:sz w:val="24"/>
          <w:szCs w:val="24"/>
        </w:rPr>
        <w:lastRenderedPageBreak/>
        <w:t>odstupného,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7D3286">
        <w:rPr>
          <w:rFonts w:ascii="Times New Roman" w:hAnsi="Times New Roman" w:cs="Times New Roman"/>
          <w:sz w:val="24"/>
          <w:szCs w:val="24"/>
        </w:rPr>
        <w:t>výdavkami</w:t>
      </w:r>
      <w:r w:rsidR="007D3286" w:rsidRPr="00D758FA">
        <w:rPr>
          <w:rFonts w:ascii="Times New Roman" w:hAnsi="Times New Roman" w:cs="Times New Roman"/>
          <w:sz w:val="24"/>
          <w:szCs w:val="24"/>
        </w:rPr>
        <w:t xml:space="preserve">  súvisiacimi  so zdražením energií</w:t>
      </w:r>
      <w:r w:rsidR="007D3286">
        <w:rPr>
          <w:rFonts w:ascii="Times New Roman" w:hAnsi="Times New Roman" w:cs="Times New Roman"/>
          <w:sz w:val="24"/>
          <w:szCs w:val="24"/>
        </w:rPr>
        <w:t xml:space="preserve">, 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16EE8" w:rsidRPr="00D758FA">
        <w:rPr>
          <w:rFonts w:ascii="Times New Roman" w:hAnsi="Times New Roman" w:cs="Times New Roman"/>
          <w:sz w:val="24"/>
          <w:szCs w:val="24"/>
        </w:rPr>
        <w:t>opravou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16EE8" w:rsidRPr="00D758FA">
        <w:rPr>
          <w:rFonts w:ascii="Times New Roman" w:hAnsi="Times New Roman" w:cs="Times New Roman"/>
          <w:sz w:val="24"/>
          <w:szCs w:val="24"/>
        </w:rPr>
        <w:t>stojísk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16EE8" w:rsidRPr="00D758FA">
        <w:rPr>
          <w:rFonts w:ascii="Times New Roman" w:hAnsi="Times New Roman" w:cs="Times New Roman"/>
          <w:sz w:val="24"/>
          <w:szCs w:val="24"/>
        </w:rPr>
        <w:t>kontajnerov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16EE8" w:rsidRPr="00D758FA">
        <w:rPr>
          <w:rFonts w:ascii="Times New Roman" w:hAnsi="Times New Roman" w:cs="Times New Roman"/>
          <w:sz w:val="24"/>
          <w:szCs w:val="24"/>
        </w:rPr>
        <w:t>a</w:t>
      </w:r>
      <w:r w:rsidR="003806B9" w:rsidRPr="00D758FA">
        <w:rPr>
          <w:rFonts w:ascii="Times New Roman" w:hAnsi="Times New Roman" w:cs="Times New Roman"/>
          <w:sz w:val="24"/>
          <w:szCs w:val="24"/>
        </w:rPr>
        <w:t> </w:t>
      </w:r>
      <w:r w:rsidR="00CD0852" w:rsidRPr="00D758FA">
        <w:rPr>
          <w:rFonts w:ascii="Times New Roman" w:hAnsi="Times New Roman" w:cs="Times New Roman"/>
          <w:sz w:val="24"/>
          <w:szCs w:val="24"/>
        </w:rPr>
        <w:t>nákup</w:t>
      </w:r>
      <w:r w:rsidR="00380143" w:rsidRPr="00D758FA">
        <w:rPr>
          <w:rFonts w:ascii="Times New Roman" w:hAnsi="Times New Roman" w:cs="Times New Roman"/>
          <w:sz w:val="24"/>
          <w:szCs w:val="24"/>
        </w:rPr>
        <w:t>om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277AFB" w:rsidRPr="00D758FA">
        <w:rPr>
          <w:rFonts w:ascii="Times New Roman" w:hAnsi="Times New Roman" w:cs="Times New Roman"/>
          <w:sz w:val="24"/>
          <w:szCs w:val="24"/>
        </w:rPr>
        <w:t>kamerové</w:t>
      </w:r>
      <w:r w:rsidR="00CD0852" w:rsidRPr="00D758FA">
        <w:rPr>
          <w:rFonts w:ascii="Times New Roman" w:hAnsi="Times New Roman" w:cs="Times New Roman"/>
          <w:sz w:val="24"/>
          <w:szCs w:val="24"/>
        </w:rPr>
        <w:t>ho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277AFB" w:rsidRPr="00D758FA">
        <w:rPr>
          <w:rFonts w:ascii="Times New Roman" w:hAnsi="Times New Roman" w:cs="Times New Roman"/>
          <w:sz w:val="24"/>
          <w:szCs w:val="24"/>
        </w:rPr>
        <w:t>systému</w:t>
      </w:r>
      <w:r w:rsidR="00D16EE8" w:rsidRPr="00D758FA">
        <w:rPr>
          <w:rFonts w:ascii="Times New Roman" w:hAnsi="Times New Roman" w:cs="Times New Roman"/>
          <w:sz w:val="24"/>
          <w:szCs w:val="24"/>
        </w:rPr>
        <w:t xml:space="preserve"> k stanovištiam kontajnerov</w:t>
      </w:r>
      <w:r w:rsidR="007D3286">
        <w:rPr>
          <w:rFonts w:ascii="Times New Roman" w:hAnsi="Times New Roman" w:cs="Times New Roman"/>
          <w:sz w:val="24"/>
          <w:szCs w:val="24"/>
        </w:rPr>
        <w:t>.</w:t>
      </w:r>
    </w:p>
    <w:p w14:paraId="72A1882C" w14:textId="77777777" w:rsidR="00BF515E" w:rsidRPr="00D758FA" w:rsidRDefault="00BF515E" w:rsidP="009942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836FBFE" w14:textId="53F6E5A6" w:rsidR="00446C9F" w:rsidRPr="00D758FA" w:rsidRDefault="00446C9F" w:rsidP="00174E3E">
      <w:pPr>
        <w:pStyle w:val="Nadpis1"/>
        <w:spacing w:before="0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Výsledo</w:t>
      </w:r>
      <w:r w:rsidR="007723EA" w:rsidRPr="00D758FA">
        <w:rPr>
          <w:rFonts w:eastAsia="Times New Roman" w:cs="Times New Roman"/>
          <w:lang w:eastAsia="sk-SK"/>
        </w:rPr>
        <w:t>k hospodárenia</w:t>
      </w:r>
    </w:p>
    <w:p w14:paraId="75B28512" w14:textId="77777777" w:rsidR="00965A32" w:rsidRPr="00D758FA" w:rsidRDefault="00965A32" w:rsidP="0084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5CA80683" w14:textId="2DE0E2C3" w:rsidR="00965A32" w:rsidRPr="00D758FA" w:rsidRDefault="00D27693" w:rsidP="00965A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092BC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 nasledovnom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tabuľkovom prehľade je uvedený </w:t>
      </w:r>
      <w:r w:rsidR="00965A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výsledok rozpočtového hospodárenia mesta Šaľa k 31.12.202</w:t>
      </w:r>
      <w:r w:rsidR="0013301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965A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ktorý vychádza z predloženého návrhu záverečného účtu.</w:t>
      </w:r>
    </w:p>
    <w:p w14:paraId="07FB0BE2" w14:textId="77777777" w:rsidR="008457A7" w:rsidRPr="00D758FA" w:rsidRDefault="008457A7" w:rsidP="008457A7">
      <w:pPr>
        <w:shd w:val="clear" w:color="auto" w:fill="FFFFFF"/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sk-SK"/>
        </w:rPr>
        <w:t>v EUR</w:t>
      </w:r>
    </w:p>
    <w:tbl>
      <w:tblPr>
        <w:tblW w:w="900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5"/>
        <w:gridCol w:w="1840"/>
        <w:gridCol w:w="1946"/>
        <w:gridCol w:w="1634"/>
      </w:tblGrid>
      <w:tr w:rsidR="008457A7" w:rsidRPr="00D758FA" w14:paraId="51912553" w14:textId="77777777" w:rsidTr="00E252A6">
        <w:trPr>
          <w:trHeight w:val="300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9F90" w14:textId="77777777" w:rsidR="008457A7" w:rsidRPr="00D758FA" w:rsidRDefault="008457A7" w:rsidP="008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3593" w14:textId="77777777" w:rsidR="008457A7" w:rsidRPr="00D758FA" w:rsidRDefault="008457A7" w:rsidP="0084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Príjmy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0F36" w14:textId="77777777" w:rsidR="008457A7" w:rsidRPr="00D758FA" w:rsidRDefault="008457A7" w:rsidP="0084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Výdavky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570C" w14:textId="77777777" w:rsidR="008457A7" w:rsidRPr="00D758FA" w:rsidRDefault="008457A7" w:rsidP="0084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HV +/-</w:t>
            </w:r>
          </w:p>
        </w:tc>
      </w:tr>
      <w:tr w:rsidR="008457A7" w:rsidRPr="00D758FA" w14:paraId="1BC78C07" w14:textId="77777777" w:rsidTr="00E252A6">
        <w:trPr>
          <w:trHeight w:val="300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C34F" w14:textId="77777777" w:rsidR="008457A7" w:rsidRPr="00D758FA" w:rsidRDefault="008457A7" w:rsidP="008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Bežný rozpočet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8598" w14:textId="05BD25AF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</w:t>
            </w:r>
            <w:r w:rsidR="00FC1FF4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22 156 124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CE2B" w14:textId="052E3ED3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</w:t>
            </w:r>
            <w:r w:rsidR="00FC1FF4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21 624 169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1912" w14:textId="73B04C68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</w:t>
            </w:r>
            <w:r w:rsidR="00FC1FF4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531 955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</w:tr>
      <w:tr w:rsidR="008457A7" w:rsidRPr="00D758FA" w14:paraId="66C51B78" w14:textId="77777777" w:rsidTr="00E252A6">
        <w:trPr>
          <w:trHeight w:val="315"/>
        </w:trPr>
        <w:tc>
          <w:tcPr>
            <w:tcW w:w="35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9CC4" w14:textId="77777777" w:rsidR="008457A7" w:rsidRPr="00D758FA" w:rsidRDefault="008457A7" w:rsidP="008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Kapitálový rozpočet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FC33" w14:textId="70DEB31E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="00FC1FF4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536 087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19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E0B5" w14:textId="0C259253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</w:t>
            </w:r>
            <w:r w:rsidR="00FC1FF4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3 600 923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1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51BA" w14:textId="7165112A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E252A6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  <w:r w:rsidR="00427B7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FC1FF4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3 064 837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</w:tr>
      <w:tr w:rsidR="008457A7" w:rsidRPr="00D758FA" w14:paraId="442177DF" w14:textId="77777777" w:rsidTr="00E252A6">
        <w:trPr>
          <w:trHeight w:val="330"/>
        </w:trPr>
        <w:tc>
          <w:tcPr>
            <w:tcW w:w="35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AEB3" w14:textId="77777777" w:rsidR="008457A7" w:rsidRPr="00D758FA" w:rsidRDefault="008457A7" w:rsidP="0084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Rozpočet bez finančných operácií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D647" w14:textId="5387D6D4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  <w:r w:rsidR="00FC1FF4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22 692 211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  <w:tc>
          <w:tcPr>
            <w:tcW w:w="19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460D" w14:textId="1C259FEB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  <w:r w:rsidR="00FC1FF4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25 225 092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  <w:tc>
          <w:tcPr>
            <w:tcW w:w="1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158B" w14:textId="0E2CC616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  <w:r w:rsidR="00E252A6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-</w:t>
            </w:r>
            <w:r w:rsidR="00071C38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="00FC1FF4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2 532 882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</w:tr>
      <w:tr w:rsidR="008457A7" w:rsidRPr="00D758FA" w14:paraId="2904F402" w14:textId="77777777" w:rsidTr="00E252A6">
        <w:trPr>
          <w:trHeight w:val="315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81F3" w14:textId="77777777" w:rsidR="008457A7" w:rsidRPr="00D758FA" w:rsidRDefault="008457A7" w:rsidP="008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Finančné operácie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1C3F" w14:textId="6188EC08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="007173A9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4 281 693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75FB" w14:textId="64E19F18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</w:t>
            </w:r>
            <w:r w:rsidR="007173A9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993 542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D089" w14:textId="38FC5D6A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</w:t>
            </w:r>
            <w:r w:rsidR="007173A9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3 288 151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</w:tr>
      <w:tr w:rsidR="008457A7" w:rsidRPr="00D758FA" w14:paraId="592E8F6E" w14:textId="77777777" w:rsidTr="00E252A6">
        <w:trPr>
          <w:trHeight w:val="300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BB35" w14:textId="77777777" w:rsidR="008457A7" w:rsidRPr="00D758FA" w:rsidRDefault="008457A7" w:rsidP="0084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Rozpočet s finančnými operáciami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A8DC" w14:textId="44CD20AA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  <w:r w:rsidR="005324CD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</w:t>
            </w:r>
            <w:r w:rsidR="007173A9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6 973 904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DA22" w14:textId="65793903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  <w:r w:rsidR="005324CD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</w:t>
            </w:r>
            <w:r w:rsidR="007173A9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6 218 634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3EDE" w14:textId="24DAEEDE" w:rsidR="008457A7" w:rsidRPr="00D758FA" w:rsidRDefault="008457A7" w:rsidP="00845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  <w:r w:rsidR="007173A9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755 270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</w:tr>
    </w:tbl>
    <w:p w14:paraId="6A41656C" w14:textId="77777777" w:rsidR="008457A7" w:rsidRPr="00D758FA" w:rsidRDefault="008457A7" w:rsidP="00BA2073">
      <w:pPr>
        <w:pStyle w:val="Odsekzoznamu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69DCC0BD" w14:textId="74C311B0" w:rsidR="00BA2073" w:rsidRPr="00D758FA" w:rsidRDefault="0013479C" w:rsidP="00BA2073">
      <w:pPr>
        <w:pStyle w:val="Odsekzoznamu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Výsledok hospodárenia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mesta Šaľa</w:t>
      </w:r>
      <w:r w:rsidR="008457A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 rok 202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8457A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zistený </w:t>
      </w:r>
      <w:r w:rsidR="00FC51F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§ 10 ods. 3 písm. a) a b) zákona  č. 583/2004 Z.z. o rozpočtových pravidlách územnej samosprávy</w:t>
      </w:r>
      <w:r w:rsidR="007A0D7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</w:t>
      </w:r>
      <w:r w:rsidR="003806B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vykázaný v súlade s § 2 písm. b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) cit. zákona ako</w:t>
      </w:r>
      <w:r w:rsidR="007A0D7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C3715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schodok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</w:t>
      </w:r>
      <w:r w:rsidR="009C3715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2 532 882,00 </w:t>
      </w:r>
      <w:r w:rsidR="0094149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EUR</w:t>
      </w:r>
      <w:r w:rsidR="007D328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965A3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7C4EA788" w14:textId="1AD744B9" w:rsidR="00194A2A" w:rsidRPr="007D3286" w:rsidRDefault="007723EA" w:rsidP="00F730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Dosiahnut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ý prebytok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bežného</w:t>
      </w:r>
      <w:r w:rsidR="00965A3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rozpočtu 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531 955,00 EUR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schodok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kapitálového rozpočtu</w:t>
      </w:r>
      <w:r w:rsidR="00D4047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výške 3 064 837</w:t>
      </w:r>
      <w:r w:rsidR="00247F1C">
        <w:rPr>
          <w:rFonts w:ascii="Times New Roman" w:eastAsia="Times New Roman" w:hAnsi="Times New Roman" w:cs="Times New Roman"/>
          <w:sz w:val="24"/>
          <w:szCs w:val="24"/>
          <w:lang w:eastAsia="sk-SK"/>
        </w:rPr>
        <w:t>,00 EUR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upraven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 prebytok</w:t>
      </w:r>
      <w:r w:rsidR="00D721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60D8E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finančných operácii</w:t>
      </w:r>
      <w:r w:rsidR="00D721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vo výške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3 288 151,00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C09A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EUR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prestavuje</w:t>
      </w:r>
      <w:r w:rsidR="00DC55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kladný </w:t>
      </w:r>
      <w:r w:rsidR="000C09A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výsledok rozpočtového</w:t>
      </w:r>
      <w:r w:rsidR="00DC55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hospodárenia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vo</w:t>
      </w:r>
      <w:r w:rsidR="00DC55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výške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73A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755 270</w:t>
      </w:r>
      <w:r w:rsidR="00647481" w:rsidRPr="00D758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,00</w:t>
      </w:r>
      <w:r w:rsidR="000C09AC" w:rsidRPr="00D758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EUR</w:t>
      </w:r>
      <w:r w:rsidR="00C0726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23F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 vylúčení </w:t>
      </w:r>
      <w:r w:rsidR="00113CB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nevyčerpan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ých </w:t>
      </w:r>
      <w:r w:rsidR="00113CB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EA0D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účelovo viazan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ých </w:t>
      </w:r>
      <w:r w:rsidR="00EA0D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finančn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ých </w:t>
      </w:r>
      <w:r w:rsidR="00EA0D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prostriedk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ov</w:t>
      </w:r>
      <w:r w:rsidR="00D63ECA" w:rsidRPr="00D758FA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D63EC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7D328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 výške </w:t>
      </w:r>
      <w:r w:rsidR="009C371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250 446,24</w:t>
      </w:r>
      <w:r w:rsidR="00D63EC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63ECA" w:rsidRPr="00D758FA">
        <w:rPr>
          <w:rFonts w:ascii="Times New Roman" w:hAnsi="Times New Roman" w:cs="Times New Roman"/>
          <w:iCs/>
          <w:sz w:val="24"/>
          <w:szCs w:val="24"/>
        </w:rPr>
        <w:t>EUR a</w:t>
      </w:r>
      <w:r w:rsidR="00D23FE6">
        <w:rPr>
          <w:rFonts w:ascii="Times New Roman" w:hAnsi="Times New Roman" w:cs="Times New Roman"/>
          <w:iCs/>
          <w:sz w:val="24"/>
          <w:szCs w:val="24"/>
        </w:rPr>
        <w:t> </w:t>
      </w:r>
      <w:r w:rsidR="00D63ECA" w:rsidRPr="00D758FA">
        <w:rPr>
          <w:rFonts w:ascii="Times New Roman" w:hAnsi="Times New Roman" w:cs="Times New Roman"/>
          <w:iCs/>
          <w:sz w:val="24"/>
          <w:szCs w:val="24"/>
        </w:rPr>
        <w:t>účelovo</w:t>
      </w:r>
      <w:r w:rsidR="00D23FE6">
        <w:rPr>
          <w:rFonts w:ascii="Times New Roman" w:hAnsi="Times New Roman" w:cs="Times New Roman"/>
          <w:iCs/>
          <w:sz w:val="24"/>
          <w:szCs w:val="24"/>
        </w:rPr>
        <w:t xml:space="preserve"> viazaných </w:t>
      </w:r>
      <w:r w:rsidR="00D63ECA" w:rsidRPr="00D758FA">
        <w:rPr>
          <w:rFonts w:ascii="Times New Roman" w:hAnsi="Times New Roman" w:cs="Times New Roman"/>
          <w:iCs/>
          <w:sz w:val="24"/>
          <w:szCs w:val="24"/>
        </w:rPr>
        <w:t>prostriedk</w:t>
      </w:r>
      <w:r w:rsidR="00D23FE6">
        <w:rPr>
          <w:rFonts w:ascii="Times New Roman" w:hAnsi="Times New Roman" w:cs="Times New Roman"/>
          <w:iCs/>
          <w:sz w:val="24"/>
          <w:szCs w:val="24"/>
        </w:rPr>
        <w:t>ov na tvorbu fondu opráv</w:t>
      </w:r>
      <w:r w:rsidR="00DC556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23FE6">
        <w:rPr>
          <w:rFonts w:ascii="Times New Roman" w:hAnsi="Times New Roman" w:cs="Times New Roman"/>
          <w:iCs/>
          <w:sz w:val="24"/>
          <w:szCs w:val="24"/>
        </w:rPr>
        <w:t xml:space="preserve">a údržby v sume 45 186,45 EUR  a  zábezpeky z  mestských nájomných bytov  </w:t>
      </w:r>
      <w:r w:rsidR="00D63ECA" w:rsidRPr="00D758FA">
        <w:rPr>
          <w:rFonts w:ascii="Times New Roman" w:hAnsi="Times New Roman" w:cs="Times New Roman"/>
          <w:iCs/>
          <w:sz w:val="24"/>
          <w:szCs w:val="24"/>
        </w:rPr>
        <w:t xml:space="preserve">vo výške  </w:t>
      </w:r>
      <w:r w:rsidR="00D23FE6">
        <w:rPr>
          <w:rFonts w:ascii="Times New Roman" w:hAnsi="Times New Roman" w:cs="Times New Roman"/>
          <w:iCs/>
          <w:sz w:val="24"/>
          <w:szCs w:val="24"/>
        </w:rPr>
        <w:t xml:space="preserve"> 2 244,99 EUR,  </w:t>
      </w:r>
      <w:r w:rsidR="000D5DE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je dosiahnutý </w:t>
      </w:r>
      <w:r w:rsidR="00C67FA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výs</w:t>
      </w:r>
      <w:r w:rsidR="0070243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ledok rozpočtového hospodárenia </w:t>
      </w:r>
      <w:r w:rsidR="000D5DE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</w:t>
      </w:r>
      <w:r w:rsidR="009C3715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457 391,95 </w:t>
      </w:r>
      <w:r w:rsidR="00F73048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0D5DE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EUR</w:t>
      </w:r>
      <w:r w:rsidR="00F73E2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</w:t>
      </w:r>
      <w:r w:rsidR="00832D9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ktorý </w:t>
      </w:r>
      <w:r w:rsidR="00F73E2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mesto navrhuje prideliť do rezervného fondu.</w:t>
      </w:r>
    </w:p>
    <w:p w14:paraId="0C51F8BC" w14:textId="77777777" w:rsidR="00476E05" w:rsidRPr="00D758FA" w:rsidRDefault="00476E05" w:rsidP="00F73048">
      <w:pPr>
        <w:tabs>
          <w:tab w:val="right" w:pos="75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DFAA0" w14:textId="77777777" w:rsidR="00446C9F" w:rsidRPr="00D758FA" w:rsidRDefault="00446C9F" w:rsidP="00B6109D">
      <w:pPr>
        <w:pStyle w:val="Nadpis1"/>
        <w:spacing w:before="0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príjmovej časti rozpočtu</w:t>
      </w:r>
      <w:r w:rsidRPr="00D758FA">
        <w:rPr>
          <w:rFonts w:eastAsia="Times New Roman" w:cs="Times New Roman"/>
          <w:sz w:val="26"/>
          <w:lang w:eastAsia="sk-SK"/>
        </w:rPr>
        <w:t>  </w:t>
      </w:r>
    </w:p>
    <w:p w14:paraId="14F93259" w14:textId="77777777" w:rsidR="008C2C95" w:rsidRPr="00D758FA" w:rsidRDefault="008C2C95" w:rsidP="008C2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F73788E" w14:textId="5F108D9D" w:rsidR="002A5737" w:rsidRPr="00D758FA" w:rsidRDefault="002A5737" w:rsidP="008C2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nasledovnej tabuľke </w:t>
      </w:r>
      <w:r w:rsidR="00D2769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je uvedené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celkové plnenie príjmovej časti rozpočtu mesta za rok 202</w:t>
      </w:r>
      <w:r w:rsidR="008D062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1AC891BD" w14:textId="028BE1A7" w:rsidR="00E13C1D" w:rsidRPr="00D758FA" w:rsidRDefault="00E13C1D" w:rsidP="008C2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vertAlign w:val="superscript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    </w:t>
      </w:r>
      <w:r w:rsidR="00867A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vertAlign w:val="superscript"/>
          <w:lang w:eastAsia="sk-SK"/>
        </w:rPr>
        <w:t>v EUR</w:t>
      </w:r>
    </w:p>
    <w:tbl>
      <w:tblPr>
        <w:tblW w:w="494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702"/>
        <w:gridCol w:w="1700"/>
        <w:gridCol w:w="1729"/>
        <w:gridCol w:w="993"/>
      </w:tblGrid>
      <w:tr w:rsidR="00DD3535" w:rsidRPr="00D758FA" w14:paraId="1F8BAC67" w14:textId="77777777" w:rsidTr="00722C3F">
        <w:trPr>
          <w:trHeight w:val="205"/>
        </w:trPr>
        <w:tc>
          <w:tcPr>
            <w:tcW w:w="15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0F53" w14:textId="77777777" w:rsidR="00DD3535" w:rsidRPr="00D758FA" w:rsidRDefault="00DD3535" w:rsidP="00965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9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CD1A" w14:textId="48940146" w:rsidR="00DD3535" w:rsidRPr="00D758FA" w:rsidRDefault="008D062C" w:rsidP="00965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Upravený </w:t>
            </w:r>
            <w:r w:rsidR="00DD3535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rozpočet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F3224" w14:textId="77777777" w:rsidR="00DD3535" w:rsidRPr="00D758FA" w:rsidRDefault="00DD3535" w:rsidP="00965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Plnenie rozpočtu</w:t>
            </w:r>
          </w:p>
        </w:tc>
        <w:tc>
          <w:tcPr>
            <w:tcW w:w="9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364CC" w14:textId="77777777" w:rsidR="00DD3535" w:rsidRPr="00D758FA" w:rsidRDefault="00DD3535" w:rsidP="00965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Rozdiel príjmov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1EB827" w14:textId="77777777" w:rsidR="00DD3535" w:rsidRPr="00D758FA" w:rsidRDefault="00DD3535" w:rsidP="00965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% plnenia</w:t>
            </w:r>
          </w:p>
        </w:tc>
      </w:tr>
      <w:tr w:rsidR="00DD3535" w:rsidRPr="00D758FA" w14:paraId="2AA02F27" w14:textId="77777777" w:rsidTr="00722C3F">
        <w:trPr>
          <w:trHeight w:val="157"/>
        </w:trPr>
        <w:tc>
          <w:tcPr>
            <w:tcW w:w="1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A530" w14:textId="77777777" w:rsidR="00DD3535" w:rsidRPr="00D758FA" w:rsidRDefault="00DD3535" w:rsidP="0096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Bežné príjmy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FE00" w14:textId="15B5616F" w:rsidR="00DD3535" w:rsidRPr="00D758FA" w:rsidRDefault="00BA2910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2 783 600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1E7E" w14:textId="73F99D24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2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2 156 124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8F1B" w14:textId="31CCC61B" w:rsidR="00DD3535" w:rsidRPr="00D758FA" w:rsidRDefault="00867AE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627 476,00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BD5A7" w14:textId="0F4A0AEF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</w:tr>
      <w:tr w:rsidR="00DD3535" w:rsidRPr="00D758FA" w14:paraId="4EA791FD" w14:textId="77777777" w:rsidTr="00722C3F">
        <w:trPr>
          <w:trHeight w:val="205"/>
        </w:trPr>
        <w:tc>
          <w:tcPr>
            <w:tcW w:w="1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A995" w14:textId="77777777" w:rsidR="00DD3535" w:rsidRPr="00D758FA" w:rsidRDefault="00DD3535" w:rsidP="0096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Kapitálové príjmy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9EBA" w14:textId="795EF17F" w:rsidR="00DD3535" w:rsidRPr="00D758FA" w:rsidRDefault="00867AE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568 103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5176" w14:textId="669200E9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536 087,00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FA81" w14:textId="4EB28307" w:rsidR="00DD3535" w:rsidRPr="00D758FA" w:rsidRDefault="00867AE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-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32 016,00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4EA26" w14:textId="2D551680" w:rsidR="00DD3535" w:rsidRPr="00D758FA" w:rsidRDefault="008D062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94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36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</w:tr>
      <w:tr w:rsidR="00DD3535" w:rsidRPr="00D758FA" w14:paraId="72B284B3" w14:textId="77777777" w:rsidTr="00722C3F">
        <w:trPr>
          <w:trHeight w:val="215"/>
        </w:trPr>
        <w:tc>
          <w:tcPr>
            <w:tcW w:w="157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7D1E" w14:textId="5326D914" w:rsidR="00DD3535" w:rsidRPr="00D758FA" w:rsidRDefault="00BA2910" w:rsidP="0096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Príjmové finančné </w:t>
            </w:r>
            <w:r w:rsidR="00DD3535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operácie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9216" w14:textId="4A391BF4" w:rsidR="00DD3535" w:rsidRPr="00D758FA" w:rsidRDefault="00BA2910" w:rsidP="00BA2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4 891 024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1396" w14:textId="06495EE3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4 281 693,00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20CF" w14:textId="786CEF65" w:rsidR="00DD3535" w:rsidRPr="00D758FA" w:rsidRDefault="00867AE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-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</w:t>
            </w:r>
            <w:r w:rsidR="008D062C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609 331,00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06B55" w14:textId="7D81FB83" w:rsidR="00DD3535" w:rsidRPr="00D758FA" w:rsidRDefault="008D062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87,54</w:t>
            </w:r>
            <w:r w:rsidR="00DD3535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</w:tr>
      <w:tr w:rsidR="00DD3535" w:rsidRPr="00D758FA" w14:paraId="5CF5D4D8" w14:textId="77777777" w:rsidTr="00722C3F">
        <w:trPr>
          <w:trHeight w:val="215"/>
        </w:trPr>
        <w:tc>
          <w:tcPr>
            <w:tcW w:w="1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CBA7" w14:textId="77777777" w:rsidR="00DD3535" w:rsidRPr="00D758FA" w:rsidRDefault="00DD3535" w:rsidP="00965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Príjmy celkom</w:t>
            </w:r>
          </w:p>
        </w:tc>
        <w:tc>
          <w:tcPr>
            <w:tcW w:w="9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8CA0" w14:textId="0BF2324A" w:rsidR="00DD3535" w:rsidRPr="00D758FA" w:rsidRDefault="00867AEC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  </w:t>
            </w:r>
            <w:r w:rsidR="00DD3535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</w:t>
            </w:r>
            <w:r w:rsidR="008D062C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8 242 727</w:t>
            </w:r>
            <w:r w:rsidR="00DD3535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B07D" w14:textId="49CA9880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2</w:t>
            </w:r>
            <w:r w:rsidR="008D062C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6 973 904,00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</w:p>
        </w:tc>
        <w:tc>
          <w:tcPr>
            <w:tcW w:w="96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877F" w14:textId="40DA91D0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="00867AEC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-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="00F0523E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1 268 823,00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2F60A" w14:textId="372E0A6A" w:rsidR="00DD3535" w:rsidRPr="00D758FA" w:rsidRDefault="00DD3535" w:rsidP="0096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9</w:t>
            </w:r>
            <w:r w:rsidR="00F0523E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5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,5</w:t>
            </w:r>
            <w:r w:rsidR="00F0523E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</w:p>
        </w:tc>
      </w:tr>
    </w:tbl>
    <w:p w14:paraId="2EA053EB" w14:textId="77777777" w:rsidR="002A5737" w:rsidRPr="00D758FA" w:rsidRDefault="002A5737" w:rsidP="002A5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4D16DE" w14:textId="3BCD9F5C" w:rsidR="00071C38" w:rsidRDefault="002A5737" w:rsidP="008C2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Celkové</w:t>
      </w:r>
      <w:r w:rsidR="00BA2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príjmy</w:t>
      </w:r>
      <w:r w:rsidR="00BA2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mesta</w:t>
      </w:r>
      <w:r w:rsidR="00BA29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 31.12.202</w:t>
      </w:r>
      <w:r w:rsidR="00F0523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BA29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dosiahli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7304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výšku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2</w:t>
      </w:r>
      <w:r w:rsidR="00F0523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6 973 904,00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čo</w:t>
      </w:r>
      <w:r w:rsidR="00B4491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A29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oproti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rozpočtovaným 2</w:t>
      </w:r>
      <w:r w:rsidR="00F0523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8 242 727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,00 EUR predstavuje 9</w:t>
      </w:r>
      <w:r w:rsidR="00F0523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5,51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 plnenie rozpočtu</w:t>
      </w:r>
      <w:r w:rsidR="00F0523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52B2CC1C" w14:textId="77777777" w:rsidR="00C4416B" w:rsidRPr="00D758FA" w:rsidRDefault="00C4416B" w:rsidP="008C2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sk-SK"/>
        </w:rPr>
      </w:pPr>
    </w:p>
    <w:p w14:paraId="57272C5B" w14:textId="100BD5F4" w:rsidR="000A2EE0" w:rsidRPr="00D758FA" w:rsidRDefault="000A2EE0" w:rsidP="000A2EE0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rozpočtu bežných príjmov</w:t>
      </w:r>
    </w:p>
    <w:p w14:paraId="0ECDA83A" w14:textId="77777777" w:rsidR="000A2EE0" w:rsidRPr="00D758FA" w:rsidRDefault="000A2EE0" w:rsidP="00D61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FC79B92" w14:textId="77777777" w:rsidR="00BA2910" w:rsidRDefault="003E12BE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Celkové b</w:t>
      </w:r>
      <w:r w:rsidR="00446C9F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ežné príjmy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0785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sume </w:t>
      </w:r>
      <w:r w:rsidR="00C07853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F0523E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2 156 124</w:t>
      </w:r>
      <w:r w:rsidR="00C07853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,00 EUR</w:t>
      </w:r>
      <w:r w:rsidR="00C0785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boli oproti </w:t>
      </w:r>
      <w:r w:rsidR="000A2EE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upravenému 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rozpočtu</w:t>
      </w:r>
      <w:r w:rsidR="008C2C95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roku</w:t>
      </w:r>
      <w:r w:rsidR="000A2EE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202</w:t>
      </w:r>
      <w:r w:rsidR="00F0523E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plnené na 9</w:t>
      </w:r>
      <w:r w:rsidR="00F0523E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="00152384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F0523E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25</w:t>
      </w:r>
      <w:r w:rsidR="0070243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="00BA29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14:paraId="45BFB6CE" w14:textId="6D4B39C7" w:rsidR="007A3ABE" w:rsidRPr="00094F62" w:rsidRDefault="00BA2910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</w:t>
      </w:r>
      <w:r w:rsidR="00917A11" w:rsidRPr="00BA291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aňov</w:t>
      </w:r>
      <w:r w:rsidR="00C32654" w:rsidRPr="00BA291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7A11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príjm</w:t>
      </w:r>
      <w:r w:rsidR="00C32654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y </w:t>
      </w:r>
      <w:r w:rsidR="00DD1559" w:rsidRPr="00D758F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boli</w:t>
      </w:r>
      <w:r w:rsidR="00DD155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C32654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plnené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</w:t>
      </w:r>
      <w:r w:rsidR="003F13C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10</w:t>
      </w:r>
      <w:r w:rsidR="0010409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0,</w:t>
      </w:r>
      <w:r w:rsidR="00C7041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36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="001C344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CC5701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celkovej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1C344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výške </w:t>
      </w:r>
      <w:r w:rsidR="001C3442"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</w:t>
      </w:r>
      <w:r w:rsidR="00F3747D"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</w:t>
      </w:r>
      <w:r w:rsidR="00C70418"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921 381,27</w:t>
      </w:r>
      <w:r w:rsidR="001C3442"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EUR</w:t>
      </w:r>
      <w:r w:rsidR="00CC5701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3747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čo</w:t>
      </w:r>
      <w:r w:rsidR="0010409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D383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ovplyv</w:t>
      </w:r>
      <w:r w:rsidR="004C5346">
        <w:rPr>
          <w:rFonts w:ascii="Times New Roman" w:eastAsia="Times New Roman" w:hAnsi="Times New Roman" w:cs="Times New Roman"/>
          <w:sz w:val="24"/>
          <w:szCs w:val="24"/>
          <w:lang w:eastAsia="sk-SK"/>
        </w:rPr>
        <w:t>nil</w:t>
      </w:r>
      <w:r w:rsidR="00C0785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166D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najmä </w:t>
      </w:r>
      <w:r w:rsidR="00CC5701">
        <w:rPr>
          <w:rFonts w:ascii="Times New Roman" w:eastAsia="Times New Roman" w:hAnsi="Times New Roman" w:cs="Times New Roman"/>
          <w:sz w:val="24"/>
          <w:szCs w:val="24"/>
          <w:lang w:eastAsia="sk-SK"/>
        </w:rPr>
        <w:t>podiel na výnose daní z príjmov fyzických osôb poukazovaný územnej samospráve zo štátneho rozpočtu prepočítaného podľa jednotlivých kategórií oby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vateľstva, t.j. podielové dane</w:t>
      </w:r>
      <w:r w:rsidR="009350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ktoré sa medziročne zvýšili o 8,33 %, čo v nominálnej hodnote predstavuje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736 274,41 EUR</w:t>
      </w:r>
      <w:r w:rsidR="009350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4C5346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Celkové d</w:t>
      </w:r>
      <w:r w:rsidR="0088623B" w:rsidRPr="00BA2910">
        <w:rPr>
          <w:rFonts w:ascii="Times New Roman" w:eastAsia="Times New Roman" w:hAnsi="Times New Roman" w:cs="Times New Roman"/>
          <w:sz w:val="24"/>
          <w:szCs w:val="24"/>
          <w:lang w:eastAsia="sk-SK"/>
        </w:rPr>
        <w:t>aňové príjmy</w:t>
      </w:r>
      <w:r w:rsidR="00232D5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D383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sa medziročne zvýšil</w:t>
      </w:r>
      <w:r w:rsidR="0088623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 w:rsidR="00CC570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D383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C7041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811 667,47</w:t>
      </w:r>
      <w:r w:rsidR="007D383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EUR,  </w:t>
      </w:r>
      <w:r w:rsidR="0004404E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t.j. </w:t>
      </w:r>
      <w:r w:rsidR="007D383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4C53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7,31 </w:t>
      </w:r>
      <w:r w:rsidR="007D3839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 čoho </w:t>
      </w:r>
      <w:r w:rsidR="00B41FBA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vlastné daňové príjmy boli plnené vo výške 2 341 100,66 EUR</w:t>
      </w:r>
      <w:r w:rsidR="00E1390C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, čo z celkových daňových príjmov predstavuje 19,64 %</w:t>
      </w:r>
      <w:r w:rsidR="00344E98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1390C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a podielové dane</w:t>
      </w:r>
      <w:r w:rsidR="00344E98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, t.j. daň z príjmov bola plnená</w:t>
      </w:r>
      <w:r w:rsidR="00E1390C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výške 9 580 280 ,61 EUR</w:t>
      </w:r>
      <w:r w:rsidR="00344E98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čo </w:t>
      </w:r>
      <w:r w:rsidR="006E27A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predstavuje 80,36 % </w:t>
      </w:r>
      <w:r w:rsidR="00344E98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E1390C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 celkových daňových príjmov</w:t>
      </w:r>
      <w:r w:rsidR="00344E98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7A3ABE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2E483514" w14:textId="77777777" w:rsidR="00E40EC0" w:rsidRDefault="00E40EC0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065A8D97" w14:textId="75B445BA" w:rsidR="00591E1A" w:rsidRPr="00A807A7" w:rsidRDefault="00591E1A" w:rsidP="00591E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1C65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nasledovnom </w:t>
      </w: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tabuľkovom prehľade </w:t>
      </w:r>
      <w:r w:rsidR="001C6536">
        <w:rPr>
          <w:rFonts w:ascii="Times New Roman" w:eastAsia="Times New Roman" w:hAnsi="Times New Roman" w:cs="Times New Roman"/>
          <w:sz w:val="24"/>
          <w:szCs w:val="24"/>
          <w:lang w:eastAsia="sk-SK"/>
        </w:rPr>
        <w:t>je uvedené</w:t>
      </w: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plnenie daňových príjmov podľa jednotlivých kategórii ekonomickej klasifikácie rozpočtovej klasifikácie od roku 2019.</w:t>
      </w:r>
    </w:p>
    <w:p w14:paraId="5AF68935" w14:textId="01F48BEA" w:rsidR="00591E1A" w:rsidRPr="00722C3F" w:rsidRDefault="00722C3F" w:rsidP="00722C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</w:pPr>
      <w:r w:rsidRPr="00722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v EUR</w:t>
      </w: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767"/>
        <w:gridCol w:w="1081"/>
        <w:gridCol w:w="1189"/>
        <w:gridCol w:w="1180"/>
        <w:gridCol w:w="1179"/>
        <w:gridCol w:w="1049"/>
        <w:gridCol w:w="787"/>
      </w:tblGrid>
      <w:tr w:rsidR="00591E1A" w:rsidRPr="001E119C" w14:paraId="7BFBA9BA" w14:textId="77777777" w:rsidTr="00DC5566">
        <w:trPr>
          <w:trHeight w:val="498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FAAEAA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Kategórie ekon.klasif</w:t>
            </w: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85A0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Názov položky podľa ekon.klasif.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2B1B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</w:t>
            </w: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2019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9ECB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</w:t>
            </w: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2020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8D8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</w:t>
            </w: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2021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6F9D21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Plnenie </w:t>
            </w: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2022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B97B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*Rozdiel oproti roku 2019 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69E4" w14:textId="77777777" w:rsid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% rastu</w:t>
            </w:r>
          </w:p>
          <w:p w14:paraId="4AE6313C" w14:textId="77777777" w:rsidR="00591E1A" w:rsidRPr="00591E1A" w:rsidRDefault="00591E1A" w:rsidP="00DC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/poklesu</w:t>
            </w:r>
          </w:p>
        </w:tc>
      </w:tr>
      <w:tr w:rsidR="00591E1A" w:rsidRPr="001E119C" w14:paraId="5B9F2720" w14:textId="77777777" w:rsidTr="00DC5566">
        <w:trPr>
          <w:trHeight w:val="213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0AB4A19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110</w:t>
            </w: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4892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Daň z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príjmov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D851" w14:textId="77777777" w:rsidR="00591E1A" w:rsidRPr="00591E1A" w:rsidRDefault="00591E1A" w:rsidP="00DC5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1E1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8 870 087,49   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611B" w14:textId="77777777" w:rsidR="00591E1A" w:rsidRPr="00591E1A" w:rsidRDefault="00591E1A" w:rsidP="00DC5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1E1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8 608 423,79 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4629" w14:textId="77777777" w:rsidR="00591E1A" w:rsidRPr="00591E1A" w:rsidRDefault="00591E1A" w:rsidP="00DC5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1E1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8 844 006,82   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0B38EAD" w14:textId="77777777" w:rsidR="00591E1A" w:rsidRPr="00591E1A" w:rsidRDefault="00591E1A" w:rsidP="00DC5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1E1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9 580 280,61   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5F63" w14:textId="77777777" w:rsidR="00591E1A" w:rsidRPr="00591E1A" w:rsidRDefault="00591E1A" w:rsidP="00DC5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1E1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710 193,12   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918F5" w14:textId="77777777" w:rsidR="00591E1A" w:rsidRPr="00591E1A" w:rsidRDefault="00591E1A" w:rsidP="00DC55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91E1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7,41%</w:t>
            </w:r>
          </w:p>
        </w:tc>
      </w:tr>
      <w:tr w:rsidR="00591E1A" w:rsidRPr="001E119C" w14:paraId="57B08F94" w14:textId="77777777" w:rsidTr="00DC5566">
        <w:trPr>
          <w:trHeight w:val="262"/>
        </w:trPr>
        <w:tc>
          <w:tcPr>
            <w:tcW w:w="939" w:type="dxa"/>
            <w:tcBorders>
              <w:top w:val="doub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CD257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120</w:t>
            </w:r>
          </w:p>
        </w:tc>
        <w:tc>
          <w:tcPr>
            <w:tcW w:w="1766" w:type="dxa"/>
            <w:tcBorders>
              <w:top w:val="doub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13AC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Daň z majetku</w:t>
            </w:r>
          </w:p>
        </w:tc>
        <w:tc>
          <w:tcPr>
            <w:tcW w:w="1081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6C92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903 628,83   </w:t>
            </w:r>
          </w:p>
        </w:tc>
        <w:tc>
          <w:tcPr>
            <w:tcW w:w="1189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1AF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1 184 460,09   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6926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1 268 740,92   </w:t>
            </w:r>
          </w:p>
        </w:tc>
        <w:tc>
          <w:tcPr>
            <w:tcW w:w="117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BFB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1 297 274,19   </w:t>
            </w:r>
          </w:p>
        </w:tc>
        <w:tc>
          <w:tcPr>
            <w:tcW w:w="1049" w:type="dxa"/>
            <w:tcBorders>
              <w:top w:val="doub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419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393 645,36   </w:t>
            </w:r>
          </w:p>
        </w:tc>
        <w:tc>
          <w:tcPr>
            <w:tcW w:w="787" w:type="dxa"/>
            <w:tcBorders>
              <w:top w:val="doub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63373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30,34%</w:t>
            </w:r>
          </w:p>
        </w:tc>
      </w:tr>
      <w:tr w:rsidR="00591E1A" w:rsidRPr="001E119C" w14:paraId="5C3DA31A" w14:textId="77777777" w:rsidTr="00DC5566">
        <w:trPr>
          <w:trHeight w:val="190"/>
        </w:trPr>
        <w:tc>
          <w:tcPr>
            <w:tcW w:w="939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0193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130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31F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Dane za tovary a </w:t>
            </w: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služby</w:t>
            </w:r>
          </w:p>
        </w:tc>
        <w:tc>
          <w:tcPr>
            <w:tcW w:w="108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3768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882 595,46   </w:t>
            </w:r>
          </w:p>
        </w:tc>
        <w:tc>
          <w:tcPr>
            <w:tcW w:w="11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5B7B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991 301,15   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818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996 966,06   </w:t>
            </w: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E18CC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1 043 826,47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3FC0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161 231,01  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62F9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15,45%</w:t>
            </w:r>
          </w:p>
        </w:tc>
      </w:tr>
      <w:tr w:rsidR="00591E1A" w:rsidRPr="001E119C" w14:paraId="3423BA29" w14:textId="77777777" w:rsidTr="00DC5566">
        <w:trPr>
          <w:trHeight w:val="181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70293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133 001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8AFB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daň za psa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A743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18 631,43  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745B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17 433,24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97A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18 051,68  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D922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17 179,11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CEE8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 1 452,32  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E8727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-8,45%</w:t>
            </w:r>
          </w:p>
        </w:tc>
      </w:tr>
      <w:tr w:rsidR="00591E1A" w:rsidRPr="001E119C" w14:paraId="5BC07496" w14:textId="77777777" w:rsidTr="00DC5566">
        <w:trPr>
          <w:trHeight w:val="171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8C50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133 006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B599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daň z ubytovania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94F0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41 299,32   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734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18 092,80 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796A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14 873,40  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79792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19 330,80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A17E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- 21 968,52  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6365E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-113,65%</w:t>
            </w:r>
          </w:p>
        </w:tc>
      </w:tr>
      <w:tr w:rsidR="00591E1A" w:rsidRPr="001E119C" w14:paraId="051F18BC" w14:textId="77777777" w:rsidTr="00DC5566">
        <w:trPr>
          <w:trHeight w:val="171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5806D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133 012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989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daň za VP parkovisko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74C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133 475,39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DEA0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130 135,51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6729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131 116,60  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A4ADD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122 945,24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D840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- 10 530,15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2F288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-8,56%</w:t>
            </w:r>
          </w:p>
        </w:tc>
      </w:tr>
      <w:tr w:rsidR="00591E1A" w:rsidRPr="001E119C" w14:paraId="2069CBF4" w14:textId="77777777" w:rsidTr="00DC5566">
        <w:trPr>
          <w:trHeight w:val="171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4A929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133 012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3A98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daň za VP  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DBF8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11 535,31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9196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12 002,81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EED4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21 328,65  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8EB7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45 210,12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2E9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33 674,81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C482E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74,49%</w:t>
            </w:r>
          </w:p>
        </w:tc>
      </w:tr>
      <w:tr w:rsidR="00591E1A" w:rsidRPr="001E119C" w14:paraId="5FBA12C0" w14:textId="77777777" w:rsidTr="00DC5566">
        <w:trPr>
          <w:trHeight w:val="171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20ECF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133 013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D36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poplatok za KO FO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AC5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516 938,75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9AD1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603 904,32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29C1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625 215,88  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7A52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613 320,67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CE4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96 381,92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E10E0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15,71%</w:t>
            </w:r>
          </w:p>
        </w:tc>
      </w:tr>
      <w:tr w:rsidR="00591E1A" w:rsidRPr="001E119C" w14:paraId="36DD6BCB" w14:textId="77777777" w:rsidTr="00DC5566">
        <w:trPr>
          <w:trHeight w:val="171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E447E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133 013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491A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poplatok za KO PO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2E2F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160 715,26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87D8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191 563,47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4598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184 919,85  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5AB63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196 060,53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E6A1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35 345,27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89D75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18,03%</w:t>
            </w:r>
          </w:p>
        </w:tc>
      </w:tr>
      <w:tr w:rsidR="00591E1A" w:rsidRPr="001E119C" w14:paraId="63F61199" w14:textId="77777777" w:rsidTr="00DC5566">
        <w:trPr>
          <w:trHeight w:val="181"/>
        </w:trPr>
        <w:tc>
          <w:tcPr>
            <w:tcW w:w="9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1FDD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133 015</w:t>
            </w:r>
          </w:p>
        </w:tc>
        <w:tc>
          <w:tcPr>
            <w:tcW w:w="17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4850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daň za rozvoj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F58A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               -    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65C3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18 169,00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86EA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  1 460,00  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84C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29 780,00   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3ECD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29 780,00  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E1204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100,00%</w:t>
            </w:r>
          </w:p>
        </w:tc>
      </w:tr>
      <w:tr w:rsidR="00591E1A" w:rsidRPr="001E119C" w14:paraId="0EC8DF02" w14:textId="77777777" w:rsidTr="00DC5566">
        <w:trPr>
          <w:trHeight w:val="181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DF4DE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120, 130</w:t>
            </w: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E422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Spolu vlastné príjmy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AD04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1 786 224,29   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42EE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2 175 761,24 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5B15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2 265 706,98   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41E6D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2 341 100,66   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27B9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554 876,37   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09BE1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23,70%</w:t>
            </w:r>
          </w:p>
        </w:tc>
      </w:tr>
      <w:tr w:rsidR="00591E1A" w:rsidRPr="001E119C" w14:paraId="37B207C0" w14:textId="77777777" w:rsidTr="00DC5566">
        <w:trPr>
          <w:trHeight w:val="181"/>
        </w:trPr>
        <w:tc>
          <w:tcPr>
            <w:tcW w:w="27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0227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Celkové daňové príjmy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7560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10 784 185,03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6AA3B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10 784 185,03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D88C7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11 109 713,80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A7510FC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11 921 381,27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7374" w14:textId="77777777" w:rsidR="00591E1A" w:rsidRPr="00591E1A" w:rsidRDefault="00591E1A" w:rsidP="00DC5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1 265 069,49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6F1629" w14:textId="77777777" w:rsidR="00591E1A" w:rsidRPr="00591E1A" w:rsidRDefault="00591E1A" w:rsidP="00DC5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9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10,61%</w:t>
            </w:r>
          </w:p>
        </w:tc>
      </w:tr>
    </w:tbl>
    <w:p w14:paraId="06DD966A" w14:textId="07BDE07D" w:rsidR="00591E1A" w:rsidRPr="00591E1A" w:rsidRDefault="001C6536" w:rsidP="00591E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*rozdiel plnenia</w:t>
      </w:r>
      <w:r w:rsidR="00591E1A" w:rsidRPr="00A807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 príjmov roku 202</w:t>
      </w:r>
      <w:r w:rsidR="00591E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 oproti roku</w:t>
      </w:r>
      <w:r w:rsidR="00591E1A" w:rsidRPr="00A807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 2019 pred </w:t>
      </w:r>
      <w:r w:rsidR="00722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pandémiou a </w:t>
      </w:r>
      <w:r w:rsidR="00591E1A" w:rsidRPr="00A807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zvýšením sadzieb daní</w:t>
      </w:r>
    </w:p>
    <w:p w14:paraId="7DE01913" w14:textId="6CD9A3A6" w:rsidR="00591E1A" w:rsidRPr="00F70FAC" w:rsidRDefault="00591E1A" w:rsidP="00591E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Z</w:t>
      </w:r>
      <w:r w:rsidR="001C653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uvedeného</w:t>
      </w:r>
      <w:r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 prehľadu daňových 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príjmov </w:t>
      </w:r>
      <w:r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vyplýva, že 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daň z príjmov poukázaná z podielových daní má stúpajúcu tendenciu a v porovnaní s rokom 2019, kedy tempo rastu nebolo ovpl</w:t>
      </w:r>
      <w:r w:rsidR="00DC556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yvnené pandémiou, predstavuje 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zvýšenie o 710 193,12</w:t>
      </w:r>
      <w:r w:rsidR="001C653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EUR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, čo je nárast o 7,41 %. V</w:t>
      </w:r>
      <w:r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lastné daňové príjmy boli v roku 2022 plnené vo výške 2 341 100,66 EUR, čo oproti roku 2019 predstavuje zvýšenie o 554 876,37 EUR, t.j. o 23,7 %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. V roku 2019 </w:t>
      </w:r>
      <w:r w:rsidR="00F70FAC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došlo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1C653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Uznesením MsZ č. </w:t>
      </w:r>
      <w:r w:rsidR="00F70FAC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08/2019 – II. k zmene sadzieb daní schválením VZN č. 6/2019</w:t>
      </w:r>
      <w:r w:rsidR="001C653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F70FAC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o miestnych daniach a miestom poplatku za komunálne odpady a drobné stavebné odpady na území mesta Šaľa, s účinnosťou od 01.01.2020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, </w:t>
      </w:r>
      <w:r w:rsidR="00F70FAC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ktorým sa daňové zaťaženie zvýšilo</w:t>
      </w:r>
      <w:r w:rsidR="00DC556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takmer o 30 %. Z tabuľkové</w:t>
      </w:r>
      <w:r w:rsidR="00F70FAC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ho</w:t>
      </w:r>
      <w:r w:rsidR="006762D1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prehľadu </w:t>
      </w:r>
      <w:r w:rsidR="00F70FAC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vyplýva</w:t>
      </w:r>
      <w:r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, že po zavedení zvýšených sadzieb daní od roku 2020 došlo k celkovému zvýšeniu príjmu</w:t>
      </w:r>
      <w:r w:rsidR="00DC5566"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z vlastných daní</w:t>
      </w:r>
      <w:r w:rsidRPr="00F70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do rozpočtu mesta o 23,7 %.</w:t>
      </w:r>
    </w:p>
    <w:p w14:paraId="1358C68E" w14:textId="77777777" w:rsidR="00E1390C" w:rsidRDefault="00E1390C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6579697B" w14:textId="77777777" w:rsidR="00591E1A" w:rsidRDefault="00591E1A" w:rsidP="00591E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Nedaňové príjmy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boli plnené na 93,85%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celkovej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sume </w:t>
      </w:r>
      <w:r w:rsidRPr="00F9287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10 234 743,01 EUR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 čoho </w:t>
      </w:r>
      <w:r w:rsidRPr="00D758F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nedaňové vlastné príjmy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t.j. príjmy z vlastníctva, administratívne poplatky a ostatné vlastné príjmy predstavovali sumu 2 948 085,62 EUR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čo z celkových nedaňových príjmov tvorí  28,80%  a 71,20% tvorili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účelovo viazané finančné prostriedky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t.j.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granty a transfery</w:t>
      </w: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plnené vo výške 7 286 657,39  EUR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43AB1A40" w14:textId="77777777" w:rsidR="00E1390C" w:rsidRDefault="00E1390C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5B0C055F" w14:textId="78E86AB8" w:rsidR="00DD2FA3" w:rsidRPr="00A807A7" w:rsidRDefault="00DD2FA3" w:rsidP="00DD2F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8B097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nasledovnom </w:t>
      </w: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tabuľkovom prehľade </w:t>
      </w:r>
      <w:r w:rsidR="008B097E">
        <w:rPr>
          <w:rFonts w:ascii="Times New Roman" w:eastAsia="Times New Roman" w:hAnsi="Times New Roman" w:cs="Times New Roman"/>
          <w:sz w:val="24"/>
          <w:szCs w:val="24"/>
          <w:lang w:eastAsia="sk-SK"/>
        </w:rPr>
        <w:t>je uvedené</w:t>
      </w: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plnenie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ne</w:t>
      </w:r>
      <w:r w:rsidRPr="00A807A7">
        <w:rPr>
          <w:rFonts w:ascii="Times New Roman" w:eastAsia="Times New Roman" w:hAnsi="Times New Roman" w:cs="Times New Roman"/>
          <w:sz w:val="24"/>
          <w:szCs w:val="24"/>
          <w:lang w:eastAsia="sk-SK"/>
        </w:rPr>
        <w:t>daňových príjmov podľa jednotlivých kategórii ekonomickej klasifikácie rozpočtovej klasifikácie od roku 2019.</w:t>
      </w:r>
    </w:p>
    <w:p w14:paraId="78BBE34D" w14:textId="77777777" w:rsidR="00DD2FA3" w:rsidRDefault="00DD2FA3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tbl>
      <w:tblPr>
        <w:tblW w:w="9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1861"/>
        <w:gridCol w:w="1115"/>
        <w:gridCol w:w="1134"/>
        <w:gridCol w:w="1134"/>
        <w:gridCol w:w="1134"/>
        <w:gridCol w:w="993"/>
        <w:gridCol w:w="850"/>
      </w:tblGrid>
      <w:tr w:rsidR="00A929FA" w:rsidRPr="00A929FA" w14:paraId="7B750AA3" w14:textId="77777777" w:rsidTr="00DD2FA3">
        <w:trPr>
          <w:trHeight w:val="454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DDE3" w14:textId="6199252D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Kategórie ekon.klasif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0750" w14:textId="77777777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Názov položky podľa ekon.klasif.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443C" w14:textId="6CACF783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 2019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5FCE" w14:textId="1CC158B6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 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298B" w14:textId="61D540D8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 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0B8CD2" w14:textId="361CEB7A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Plnenie  2022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072B" w14:textId="77777777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*Rozdiel oproti roku 2019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C122" w14:textId="77777777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% rastu</w:t>
            </w:r>
          </w:p>
          <w:p w14:paraId="40EDBCE9" w14:textId="0838F891" w:rsidR="00A929FA" w:rsidRPr="00DD2FA3" w:rsidRDefault="00A929FA" w:rsidP="00A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/poklesu</w:t>
            </w:r>
          </w:p>
        </w:tc>
      </w:tr>
      <w:tr w:rsidR="00A929FA" w:rsidRPr="00A929FA" w14:paraId="396CB424" w14:textId="77777777" w:rsidTr="00DD2FA3">
        <w:trPr>
          <w:trHeight w:val="190"/>
        </w:trPr>
        <w:tc>
          <w:tcPr>
            <w:tcW w:w="98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600CE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212</w:t>
            </w:r>
          </w:p>
        </w:tc>
        <w:tc>
          <w:tcPr>
            <w:tcW w:w="18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C6C3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Príjmy z vlastníctva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FE35" w14:textId="48CBC7BA" w:rsidR="00A929FA" w:rsidRPr="00DD2FA3" w:rsidRDefault="00DD2FA3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A929FA"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723 631,45  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0926" w14:textId="576A8173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930 669,82  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E519" w14:textId="6E125452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940 073,36  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D84F" w14:textId="5039B471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1 051 994,31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1B93" w14:textId="77777777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0BE2E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0,00%</w:t>
            </w:r>
          </w:p>
        </w:tc>
      </w:tr>
      <w:tr w:rsidR="00A929FA" w:rsidRPr="00A929FA" w14:paraId="60B51968" w14:textId="77777777" w:rsidTr="00DD2FA3">
        <w:trPr>
          <w:trHeight w:val="190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7A338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212 002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6286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Nájomné z pozemkov a verej.priestr.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9DF3" w14:textId="422159EC" w:rsidR="00A929FA" w:rsidRPr="00DD2FA3" w:rsidRDefault="00DD2FA3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A929FA"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119 382,26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4301" w14:textId="50170D6A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69 940,45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3B07" w14:textId="63A965EC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89 164,12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6830" w14:textId="55F5FD08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95 370,39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E1D0" w14:textId="64A49347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- 24 011,87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5C360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-25,18%</w:t>
            </w:r>
          </w:p>
        </w:tc>
      </w:tr>
      <w:tr w:rsidR="00A929FA" w:rsidRPr="00A929FA" w14:paraId="773C2887" w14:textId="77777777" w:rsidTr="00B4491D">
        <w:trPr>
          <w:trHeight w:val="18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C9B53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211, 212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923F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Príjem z prenájmu škol.zariadení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6595" w14:textId="148397E4" w:rsidR="00A929FA" w:rsidRPr="00DD2FA3" w:rsidRDefault="009D7C32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</w:t>
            </w:r>
            <w:r w:rsidR="00A929FA"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63 358,00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F824" w14:textId="25039ECD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32 012,09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7663" w14:textId="604C4B76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23 104,37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90BA" w14:textId="01C21DC5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41 100,72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0478" w14:textId="1A66E71C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- 22 257,28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E1B5A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-54,15%</w:t>
            </w:r>
          </w:p>
        </w:tc>
      </w:tr>
      <w:tr w:rsidR="00A929FA" w:rsidRPr="00A929FA" w14:paraId="11E04D70" w14:textId="77777777" w:rsidTr="00B4491D">
        <w:trPr>
          <w:trHeight w:val="18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BC544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212 003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B637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Nájomné z prenájmu majetku mesta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4722" w14:textId="1766C18C" w:rsidR="00A929FA" w:rsidRPr="00DD2FA3" w:rsidRDefault="009D7C32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A929FA"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540 891,19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8D16" w14:textId="5F38EA9F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828 717,28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6581" w14:textId="786D1EDF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827 804,87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B78B" w14:textId="112E775D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915 523,20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1362" w14:textId="4F0BD576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374 632,01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5FCF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40,92%</w:t>
            </w:r>
          </w:p>
        </w:tc>
      </w:tr>
      <w:tr w:rsidR="00A929FA" w:rsidRPr="00A929FA" w14:paraId="15B57CD3" w14:textId="77777777" w:rsidTr="00B4491D">
        <w:trPr>
          <w:trHeight w:val="190"/>
        </w:trPr>
        <w:tc>
          <w:tcPr>
            <w:tcW w:w="983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76EDE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220</w:t>
            </w:r>
          </w:p>
        </w:tc>
        <w:tc>
          <w:tcPr>
            <w:tcW w:w="18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28CA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Administratívne a iné poplatky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CE09" w14:textId="77BA361D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1 510 585,30  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0464" w14:textId="1EC698A3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1 131 556,15  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30FE" w14:textId="2B2A48B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1 136 020,07  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50BF" w14:textId="6925E69E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1 68 171,44  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8C60" w14:textId="6E0D286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sk-SK"/>
              </w:rPr>
              <w:t xml:space="preserve">169 586,14  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0250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sk-SK"/>
              </w:rPr>
              <w:t>10,09%</w:t>
            </w:r>
          </w:p>
        </w:tc>
      </w:tr>
      <w:tr w:rsidR="00A929FA" w:rsidRPr="00A929FA" w14:paraId="5CF6EE36" w14:textId="77777777" w:rsidTr="00B4491D">
        <w:trPr>
          <w:trHeight w:val="1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2623F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221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028D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Správne poplatky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91D8" w14:textId="45F7E0AB" w:rsidR="00A929FA" w:rsidRPr="00DD2FA3" w:rsidRDefault="009D7C32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</w:t>
            </w:r>
            <w:r w:rsidR="00A929FA"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64 804,50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F545" w14:textId="381262BE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60 681,00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1DD4" w14:textId="530E817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68 536,00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059D" w14:textId="4674E457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63 595,00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2956" w14:textId="067794E6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  1 209,50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7ECA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-1,90%</w:t>
            </w:r>
          </w:p>
        </w:tc>
      </w:tr>
      <w:tr w:rsidR="00A929FA" w:rsidRPr="00A929FA" w14:paraId="5D475C72" w14:textId="77777777" w:rsidTr="00B4491D">
        <w:trPr>
          <w:trHeight w:val="18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D7DDD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222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3E81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Pokuty, úroky z omeškania a ostatné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D60C" w14:textId="0E85BCC1" w:rsidR="00A929FA" w:rsidRPr="00DD2FA3" w:rsidRDefault="009D7C32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</w:t>
            </w:r>
            <w:r w:rsidR="00A929FA"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25 597,67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5584" w14:textId="28402A01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15 800,92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638B" w14:textId="27624DEA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23 872,15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CD5A" w14:textId="0A250FD6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  30 110,59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A0EF" w14:textId="234F9EB1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   4 512,92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9CE2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14,99%</w:t>
            </w:r>
          </w:p>
        </w:tc>
      </w:tr>
      <w:tr w:rsidR="00A929FA" w:rsidRPr="00A929FA" w14:paraId="796F641B" w14:textId="77777777" w:rsidTr="00B4491D">
        <w:trPr>
          <w:trHeight w:val="182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27328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223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9507" w14:textId="677B478D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Príjmy z MsKS, MsKJJ, DD, šport a iné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2308" w14:textId="6AA1CEC1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1 420 183,13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BC8D" w14:textId="1D8AF7D7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1 055 074,23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5478" w14:textId="38F5B1FE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1 043 611,92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8B7D" w14:textId="33EA475A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 1 586 465,85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F2AE" w14:textId="54B36DD9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166 282,72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E6DD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10,48%</w:t>
            </w:r>
          </w:p>
        </w:tc>
      </w:tr>
      <w:tr w:rsidR="00A929FA" w:rsidRPr="00A929FA" w14:paraId="14C93278" w14:textId="77777777" w:rsidTr="00B4491D">
        <w:trPr>
          <w:trHeight w:val="190"/>
        </w:trPr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04603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240, 290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B1A4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Ostatné príjmy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9E2C" w14:textId="308EA021" w:rsidR="00A929FA" w:rsidRPr="00DD2FA3" w:rsidRDefault="009D7C32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A929FA"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300 480,30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BD4D" w14:textId="02B6F87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293 230,29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F91C" w14:textId="501B6C01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281 109,15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5B40" w14:textId="15310725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  215 919,87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62F1" w14:textId="33917AD9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- 84 560,43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9656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-39,16%</w:t>
            </w:r>
          </w:p>
        </w:tc>
      </w:tr>
      <w:tr w:rsidR="00A929FA" w:rsidRPr="00A929FA" w14:paraId="3DAB1B76" w14:textId="77777777" w:rsidTr="00B4491D">
        <w:trPr>
          <w:trHeight w:val="190"/>
        </w:trPr>
        <w:tc>
          <w:tcPr>
            <w:tcW w:w="9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1D52D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200, 300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DFF0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Vlastné príjmy spolu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C3B2" w14:textId="34B1451C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2 534 697,05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3E68" w14:textId="3DBE6B19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2 355 456,26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0534" w14:textId="4B3FCAC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2 357 202,58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8B9C" w14:textId="4B1A029A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2 948 085,62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B2D7" w14:textId="74C481C4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413 388,57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D3C5" w14:textId="59A0453F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 14,02%</w:t>
            </w:r>
          </w:p>
        </w:tc>
      </w:tr>
      <w:tr w:rsidR="00A929FA" w:rsidRPr="00A929FA" w14:paraId="6F2C86FE" w14:textId="77777777" w:rsidTr="00B4491D">
        <w:trPr>
          <w:trHeight w:val="1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9511C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310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97CE" w14:textId="77777777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Transfery na rôznej úrovni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A49B" w14:textId="19322B3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5 655 847,24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C84B" w14:textId="6432C71D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6 717 984,95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B3FF" w14:textId="0B0DA10B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6 922 444,64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13CD" w14:textId="6E88C134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7 286 657,39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9B54" w14:textId="42D9BDB7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1 630 810,15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C919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22,38%</w:t>
            </w:r>
          </w:p>
        </w:tc>
      </w:tr>
      <w:tr w:rsidR="00A929FA" w:rsidRPr="00A929FA" w14:paraId="5E15276F" w14:textId="77777777" w:rsidTr="00B4491D">
        <w:trPr>
          <w:trHeight w:val="190"/>
        </w:trPr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34A1" w14:textId="21C99806" w:rsidR="00A929FA" w:rsidRPr="00DD2FA3" w:rsidRDefault="00A929FA" w:rsidP="00A92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Celkové nedaňové príjmy 200 -300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D32A" w14:textId="6750935C" w:rsidR="00A929FA" w:rsidRPr="00DD2FA3" w:rsidRDefault="009D7C32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929FA"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8 190544,29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C175" w14:textId="4A58F59F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9 073 441,21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7F1E" w14:textId="51D3A802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9 279 647,22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8507" w14:textId="3FE12700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10 234 743,01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434C" w14:textId="463C27B1" w:rsidR="00A929FA" w:rsidRPr="00DD2FA3" w:rsidRDefault="00A929FA" w:rsidP="00DD2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2 044 198,72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87B6" w14:textId="77777777" w:rsidR="00A929FA" w:rsidRPr="00DD2FA3" w:rsidRDefault="00A929FA" w:rsidP="00A9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D2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19,97%</w:t>
            </w:r>
          </w:p>
        </w:tc>
      </w:tr>
    </w:tbl>
    <w:p w14:paraId="31F66D6A" w14:textId="5850E097" w:rsidR="00A929FA" w:rsidRPr="00B4491D" w:rsidRDefault="008B097E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*rozdiel plnenia</w:t>
      </w:r>
      <w:r w:rsidRPr="00A807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 príjmov roku 202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 oproti roku</w:t>
      </w:r>
      <w:r w:rsidRPr="00A807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 2019 pred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pandémiou </w:t>
      </w:r>
    </w:p>
    <w:p w14:paraId="55D037D3" w14:textId="630A58C2" w:rsidR="00A929FA" w:rsidRPr="008B097E" w:rsidRDefault="008B097E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</w:pPr>
      <w:r w:rsidRPr="008B097E">
        <w:rPr>
          <w:rFonts w:ascii="Times New Roman" w:eastAsia="Times New Roman" w:hAnsi="Times New Roman" w:cs="Times New Roman"/>
          <w:sz w:val="24"/>
          <w:szCs w:val="24"/>
          <w:lang w:eastAsia="sk-SK"/>
        </w:rPr>
        <w:t>Ako vyplýva z uvedeného prehľadu príjem z vlastných nedaňových príjmov bol v roku 2022 plnený vo výške 2 948 085,62 EUR, čo oproti roku 2019, v čase kedy príjmy neboli ovplyvnené pandémiou predstavuje nárast o 14,02% a príjem z transferov bol plnený vo výške 7 286 657,39 EUR, čo je oproti roku 2019 o 22,38 % viac.</w:t>
      </w:r>
    </w:p>
    <w:p w14:paraId="2FFA7BF6" w14:textId="77777777" w:rsidR="00A929FA" w:rsidRPr="008B097E" w:rsidRDefault="00A929FA" w:rsidP="00886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E2339C0" w14:textId="478229C2" w:rsidR="00290E37" w:rsidRPr="00D758FA" w:rsidRDefault="00401E5F" w:rsidP="00401E5F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rozpočtu kapitálových príjmov</w:t>
      </w:r>
    </w:p>
    <w:p w14:paraId="21A12B33" w14:textId="77777777" w:rsidR="00401E5F" w:rsidRPr="00D758FA" w:rsidRDefault="00401E5F" w:rsidP="000A2E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3C9C36E" w14:textId="6BE7489F" w:rsidR="00B97355" w:rsidRPr="00D758FA" w:rsidRDefault="000123A0" w:rsidP="00D61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K</w:t>
      </w:r>
      <w:r w:rsidR="00702433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apitálové</w:t>
      </w:r>
      <w:r w:rsidR="002B7615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702433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príjmy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 plnené na </w:t>
      </w:r>
      <w:r w:rsidR="00B9735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94,36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% 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</w:t>
      </w:r>
      <w:r w:rsidR="00B97355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536 086,52</w:t>
      </w:r>
      <w:r w:rsidR="00401E5F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  EUR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z čoho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kapitálové príjmy dosiahnuté z odpredaja majetku </w:t>
      </w:r>
      <w:r w:rsidR="00FD761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predstavovali</w:t>
      </w:r>
      <w:r w:rsidR="0015554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sumu </w:t>
      </w:r>
      <w:r w:rsidR="00B9735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99 475,79</w:t>
      </w:r>
      <w:r w:rsidR="0015554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EUR, t.j. </w:t>
      </w:r>
      <w:r w:rsidR="00B9735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90,43</w:t>
      </w:r>
      <w:r w:rsidR="0015554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 a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6405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grant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y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6405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6405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transfer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y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 </w:t>
      </w:r>
      <w:r w:rsidR="00FD761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plnené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na </w:t>
      </w:r>
      <w:r w:rsidR="00B9735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95,31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 celkovej výške </w:t>
      </w:r>
      <w:r w:rsidR="00B9735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436 610,73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. </w:t>
      </w:r>
    </w:p>
    <w:p w14:paraId="403DC456" w14:textId="77777777" w:rsidR="000123A0" w:rsidRPr="00D758FA" w:rsidRDefault="000123A0" w:rsidP="00D61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44D79A72" w14:textId="02D2FFFD" w:rsidR="000123A0" w:rsidRPr="00D758FA" w:rsidRDefault="008C2C95" w:rsidP="000123A0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rozpočtu príjmových</w:t>
      </w:r>
      <w:r w:rsidR="00772605" w:rsidRPr="00D758FA">
        <w:rPr>
          <w:rFonts w:eastAsia="Times New Roman" w:cs="Times New Roman"/>
          <w:lang w:eastAsia="sk-SK"/>
        </w:rPr>
        <w:t xml:space="preserve"> </w:t>
      </w:r>
      <w:r w:rsidR="000123A0" w:rsidRPr="00D758FA">
        <w:rPr>
          <w:rFonts w:eastAsia="Times New Roman" w:cs="Times New Roman"/>
          <w:lang w:eastAsia="sk-SK"/>
        </w:rPr>
        <w:t xml:space="preserve">finančných operácií </w:t>
      </w:r>
    </w:p>
    <w:p w14:paraId="54D11F09" w14:textId="77777777" w:rsidR="00D758FA" w:rsidRDefault="00D758FA" w:rsidP="008E52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14:paraId="54B3489C" w14:textId="1DFC3678" w:rsidR="00983076" w:rsidRPr="00D758FA" w:rsidRDefault="00446C9F" w:rsidP="008E52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Príjm</w:t>
      </w:r>
      <w:r w:rsidR="00BA0BE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ové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fin</w:t>
      </w:r>
      <w:r w:rsidR="002F34C4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ančn</w:t>
      </w:r>
      <w:r w:rsidR="00BA0BE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é </w:t>
      </w:r>
      <w:r w:rsidR="002F34C4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operáci</w:t>
      </w:r>
      <w:r w:rsidR="00BA0BE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</w:t>
      </w:r>
      <w:r w:rsidR="002F34C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 </w:t>
      </w:r>
      <w:r w:rsidR="00E8484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plnené 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 </w:t>
      </w:r>
      <w:r w:rsidR="008B795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87,54</w:t>
      </w:r>
      <w:r w:rsidR="00BA0BE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vo výške </w:t>
      </w:r>
      <w:r w:rsidR="008B795A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4 281 692,77</w:t>
      </w:r>
      <w:r w:rsidR="00DD155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EUR</w:t>
      </w:r>
      <w:r w:rsidR="00DD155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zahŕňajú príjem z </w:t>
      </w:r>
      <w:r w:rsidR="0019603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čerpan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ia</w:t>
      </w:r>
      <w:r w:rsidR="0019603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komerčného úveru </w:t>
      </w:r>
      <w:r w:rsidR="005828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vo výške</w:t>
      </w:r>
      <w:r w:rsidR="0098307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664 404,00 </w:t>
      </w:r>
      <w:r w:rsidR="005828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EUR, </w:t>
      </w:r>
      <w:r w:rsidR="00722C3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ktorý bol schválený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722C3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Uznesením MsZ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č. </w:t>
      </w:r>
      <w:r w:rsidR="0098307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9/2019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98307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- XII. a XIII.</w:t>
      </w:r>
      <w:r w:rsidR="005518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 následnou reštrukturalizáciou pôvodných úverov a navýšením úverového rámca na celkovú sumu 5 821 189,35 EUR.</w:t>
      </w:r>
      <w:r w:rsidR="00C85E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722C3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Ďalší príjem finančných operácií tvoril z</w:t>
      </w:r>
      <w:r w:rsidR="00C85E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ostatok rezervného fondu z roku 2021 v sume 1 894 549,14 EUR, k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torý bol použitý v</w:t>
      </w:r>
      <w:r w:rsidR="00722C3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súlade</w:t>
      </w:r>
      <w:r w:rsidR="00722C3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 Uznesením</w:t>
      </w:r>
      <w:r w:rsidR="00C85E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MsZ č. 3/2021-XI., 7/2021 – VII a 5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/2022 – VIII. na rekonštrukciu</w:t>
      </w:r>
      <w:r w:rsidR="00C85E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domu kultúry,  mestských komunikácií,  základnej školy Ľ. Štúra, modernizáciu verejného osvetlenia a úhrad istiny z úverov. Do príjmových finančných operácií sú zahrnuté účelovo viazané finančné prost</w:t>
      </w:r>
      <w:r w:rsidR="005D75D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riedky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5D75D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 sume 1 694 376,56 EUR</w:t>
      </w:r>
      <w:r w:rsidR="00C85E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nedočerpané v roku 2020 a</w:t>
      </w:r>
      <w:r w:rsidR="00C1533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C85E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2021</w:t>
      </w:r>
      <w:r w:rsidR="00C1533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na stravu a cestovné žiakov a prijaté zábezpeky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722C3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 byty vo výške 15 158,98 EUR, ktoré </w:t>
      </w:r>
      <w:r w:rsidR="00C1533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budú po ukončení nájomného vzťahu vrátené a finančné prostriedky na transparentnom účte založenom za účelom humanitárnej pomoci Ukrajine v sume 13 204,00 EUR. </w:t>
      </w:r>
    </w:p>
    <w:p w14:paraId="7C85921D" w14:textId="77777777" w:rsidR="002409E9" w:rsidRPr="00D758FA" w:rsidRDefault="002409E9" w:rsidP="008E52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sk-SK"/>
        </w:rPr>
      </w:pPr>
    </w:p>
    <w:p w14:paraId="627E675C" w14:textId="0E64AC0F" w:rsidR="00446C9F" w:rsidRPr="00D758FA" w:rsidRDefault="006D64F5" w:rsidP="00174E3E">
      <w:pPr>
        <w:pStyle w:val="Nadpis1"/>
        <w:spacing w:before="0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</w:t>
      </w:r>
      <w:r w:rsidR="00446C9F" w:rsidRPr="00D758FA">
        <w:rPr>
          <w:rFonts w:eastAsia="Times New Roman" w:cs="Times New Roman"/>
          <w:lang w:eastAsia="sk-SK"/>
        </w:rPr>
        <w:t xml:space="preserve"> výdavkovej časti rozpočtu</w:t>
      </w:r>
    </w:p>
    <w:p w14:paraId="2A073CFB" w14:textId="77777777" w:rsidR="00286DB7" w:rsidRPr="00D758FA" w:rsidRDefault="00286DB7" w:rsidP="00286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6AAEBBD" w14:textId="766185B7" w:rsidR="00286DB7" w:rsidRPr="00D758FA" w:rsidRDefault="00286DB7" w:rsidP="00286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nasledovnom tabuľkovom prehľade </w:t>
      </w:r>
      <w:r w:rsidR="00C83BC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uvedené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celkové čerpanie výdavkovej časti rozpočtu za rok 202</w:t>
      </w:r>
      <w:r w:rsidR="00965B7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06227D0B" w14:textId="1FB34AC5" w:rsidR="00286DB7" w:rsidRPr="00D758FA" w:rsidRDefault="00286DB7" w:rsidP="00286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</w:r>
      <w:r w:rsidRPr="00D758FA">
        <w:rPr>
          <w:rFonts w:ascii="Times New Roman" w:hAnsi="Times New Roman" w:cs="Times New Roman"/>
          <w:lang w:eastAsia="sk-SK"/>
        </w:rPr>
        <w:tab/>
        <w:t xml:space="preserve">        </w:t>
      </w:r>
      <w:r w:rsidR="00722C3F">
        <w:rPr>
          <w:rFonts w:ascii="Times New Roman" w:hAnsi="Times New Roman" w:cs="Times New Roman"/>
          <w:lang w:eastAsia="sk-SK"/>
        </w:rPr>
        <w:t xml:space="preserve">     </w:t>
      </w:r>
      <w:r w:rsidRPr="00D758FA">
        <w:rPr>
          <w:rFonts w:ascii="Times New Roman" w:hAnsi="Times New Roman" w:cs="Times New Roman"/>
          <w:sz w:val="24"/>
          <w:szCs w:val="24"/>
          <w:vertAlign w:val="superscript"/>
          <w:lang w:eastAsia="sk-SK"/>
        </w:rPr>
        <w:t>v EUR</w:t>
      </w:r>
      <w:r w:rsidRPr="00D758FA">
        <w:rPr>
          <w:rFonts w:ascii="Times New Roman" w:hAnsi="Times New Roman" w:cs="Times New Roman"/>
          <w:sz w:val="24"/>
          <w:szCs w:val="24"/>
          <w:vertAlign w:val="superscript"/>
          <w:lang w:eastAsia="sk-SK"/>
        </w:rPr>
        <w:fldChar w:fldCharType="begin"/>
      </w:r>
      <w:r w:rsidRPr="00D758FA">
        <w:rPr>
          <w:rFonts w:ascii="Times New Roman" w:hAnsi="Times New Roman" w:cs="Times New Roman"/>
          <w:sz w:val="24"/>
          <w:szCs w:val="24"/>
          <w:vertAlign w:val="superscript"/>
          <w:lang w:eastAsia="sk-SK"/>
        </w:rPr>
        <w:instrText xml:space="preserve"> LINK Excel.Sheet.12 "C:\\Users\\hambalkova\\Desktop\\Kópia - Tabuľky záverečný účet 2018.xlsx" "Plnenie príjmov, výdavkov (2)!R9C1:R13C5" \a \f 4 \h  \* MERGEFORMAT </w:instrText>
      </w:r>
      <w:r w:rsidRPr="00D758FA">
        <w:rPr>
          <w:rFonts w:ascii="Times New Roman" w:hAnsi="Times New Roman" w:cs="Times New Roman"/>
          <w:sz w:val="24"/>
          <w:szCs w:val="24"/>
          <w:vertAlign w:val="superscript"/>
          <w:lang w:eastAsia="sk-SK"/>
        </w:rPr>
        <w:fldChar w:fldCharType="separat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823"/>
        <w:gridCol w:w="1752"/>
        <w:gridCol w:w="1605"/>
        <w:gridCol w:w="878"/>
      </w:tblGrid>
      <w:tr w:rsidR="00286DB7" w:rsidRPr="00D758FA" w14:paraId="056B89AE" w14:textId="77777777" w:rsidTr="00722C3F">
        <w:trPr>
          <w:trHeight w:val="209"/>
        </w:trPr>
        <w:tc>
          <w:tcPr>
            <w:tcW w:w="1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B821" w14:textId="77777777" w:rsidR="00286DB7" w:rsidRPr="00D758FA" w:rsidRDefault="00286DB7" w:rsidP="001E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BF7B" w14:textId="77777777" w:rsidR="00286DB7" w:rsidRPr="00D758FA" w:rsidRDefault="00286DB7" w:rsidP="001E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Upravený rozpočet</w:t>
            </w:r>
          </w:p>
        </w:tc>
        <w:tc>
          <w:tcPr>
            <w:tcW w:w="9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7DF7" w14:textId="77777777" w:rsidR="00286DB7" w:rsidRPr="00D758FA" w:rsidRDefault="00286DB7" w:rsidP="001E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Plnenie rozpočtu</w:t>
            </w:r>
          </w:p>
        </w:tc>
        <w:tc>
          <w:tcPr>
            <w:tcW w:w="8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653FB" w14:textId="22360F21" w:rsidR="00286DB7" w:rsidRPr="00D758FA" w:rsidRDefault="00AE160B" w:rsidP="001E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Rozdiel výdavkov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B0A9B7" w14:textId="77777777" w:rsidR="00286DB7" w:rsidRPr="00D758FA" w:rsidRDefault="00286DB7" w:rsidP="001E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% plnenia</w:t>
            </w:r>
          </w:p>
        </w:tc>
      </w:tr>
      <w:tr w:rsidR="00286DB7" w:rsidRPr="00D758FA" w14:paraId="28BE5DE8" w14:textId="77777777" w:rsidTr="00722C3F">
        <w:trPr>
          <w:trHeight w:val="209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9488" w14:textId="77777777" w:rsidR="00286DB7" w:rsidRPr="00D758FA" w:rsidRDefault="00286DB7" w:rsidP="001E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Bežné výdavky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E15A" w14:textId="13B3FCF8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</w:t>
            </w:r>
            <w:r w:rsidR="00965B7F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22 953 645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F929" w14:textId="156AC965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</w:t>
            </w:r>
            <w:r w:rsidR="00965B7F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21 624 169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6DF8" w14:textId="408CAB58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</w:t>
            </w:r>
            <w:bookmarkStart w:id="0" w:name="_Hlk137124909"/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1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329 476,00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bookmarkEnd w:id="0"/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A6EED" w14:textId="16636342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</w:t>
            </w:r>
          </w:p>
        </w:tc>
      </w:tr>
      <w:tr w:rsidR="00286DB7" w:rsidRPr="00D758FA" w14:paraId="6AB64B80" w14:textId="77777777" w:rsidTr="00722C3F">
        <w:trPr>
          <w:trHeight w:val="209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55AA" w14:textId="77777777" w:rsidR="00286DB7" w:rsidRPr="00D758FA" w:rsidRDefault="00286DB7" w:rsidP="001E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Kapitálové výdavky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2010" w14:textId="0B9533A4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3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797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554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6B1" w14:textId="5F56AD46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3 600 923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77F6" w14:textId="6C496C59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196 631,00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6F307" w14:textId="13AB6A85" w:rsidR="00286DB7" w:rsidRPr="00D758FA" w:rsidRDefault="00E40EC0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94</w:t>
            </w:r>
            <w:r w:rsidR="00286DB7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</w:t>
            </w:r>
            <w:r w:rsidR="00286DB7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</w:t>
            </w:r>
          </w:p>
        </w:tc>
      </w:tr>
      <w:tr w:rsidR="00286DB7" w:rsidRPr="00D758FA" w14:paraId="124EE4DB" w14:textId="77777777" w:rsidTr="00722C3F">
        <w:trPr>
          <w:trHeight w:val="220"/>
        </w:trPr>
        <w:tc>
          <w:tcPr>
            <w:tcW w:w="165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6648" w14:textId="77777777" w:rsidR="00286DB7" w:rsidRPr="00D758FA" w:rsidRDefault="00286DB7" w:rsidP="001E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Výdavkové finančné operácie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D0DE" w14:textId="79E03E62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1 491 528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,00   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A019" w14:textId="11FAF4CB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993 542,00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DBEB" w14:textId="60F232D9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bookmarkStart w:id="1" w:name="_Hlk137124995"/>
            <w:r w:rsidR="00E40EC0"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497 986,00</w:t>
            </w:r>
            <w:bookmarkEnd w:id="1"/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F6B29" w14:textId="17BC0E6D" w:rsidR="00286DB7" w:rsidRPr="00D758FA" w:rsidRDefault="00E40EC0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66,61</w:t>
            </w:r>
          </w:p>
        </w:tc>
      </w:tr>
      <w:tr w:rsidR="00286DB7" w:rsidRPr="00D758FA" w14:paraId="6FBF8C22" w14:textId="77777777" w:rsidTr="00722C3F">
        <w:trPr>
          <w:trHeight w:val="220"/>
        </w:trPr>
        <w:tc>
          <w:tcPr>
            <w:tcW w:w="16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6625" w14:textId="77777777" w:rsidR="00286DB7" w:rsidRPr="00D758FA" w:rsidRDefault="00286DB7" w:rsidP="001E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Výdavky celkom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894E" w14:textId="1B58A42E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  2</w:t>
            </w:r>
            <w:r w:rsidR="00E40EC0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8 242 727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,00   </w:t>
            </w:r>
          </w:p>
        </w:tc>
        <w:tc>
          <w:tcPr>
            <w:tcW w:w="96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7CE3" w14:textId="6EFF85E0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2</w:t>
            </w:r>
            <w:r w:rsidR="00E40EC0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6 218 634,00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</w:p>
        </w:tc>
        <w:tc>
          <w:tcPr>
            <w:tcW w:w="8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B434" w14:textId="4596AC74" w:rsidR="00286DB7" w:rsidRPr="00D758FA" w:rsidRDefault="00286DB7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2 </w:t>
            </w:r>
            <w:r w:rsidR="00E40EC0"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024 093,00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A2161" w14:textId="568F1C54" w:rsidR="00286DB7" w:rsidRPr="00D758FA" w:rsidRDefault="00E40EC0" w:rsidP="001E1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92,83</w:t>
            </w:r>
          </w:p>
        </w:tc>
      </w:tr>
    </w:tbl>
    <w:p w14:paraId="768728B4" w14:textId="31C4F7C5" w:rsidR="00DD3535" w:rsidRPr="00B4491D" w:rsidRDefault="00286DB7" w:rsidP="00DD3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fldChar w:fldCharType="end"/>
      </w:r>
      <w:r w:rsidR="00701B2C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Celkové</w:t>
      </w:r>
      <w:r w:rsidR="002409E9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čerpanie </w:t>
      </w:r>
      <w:r w:rsidR="00770F6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</w:t>
      </w:r>
      <w:r w:rsidR="00446C9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ýdavk</w:t>
      </w:r>
      <w:r w:rsidR="00770F6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ov</w:t>
      </w:r>
      <w:r w:rsidR="00701B2C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ej</w:t>
      </w:r>
      <w:r w:rsidR="002409E9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701B2C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časti rozpočtu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31.12.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20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701B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predstavovalo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sumu               </w:t>
      </w:r>
      <w:r w:rsidR="00701B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8C2C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701B2C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2</w:t>
      </w:r>
      <w:r w:rsidR="00A93EAD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6</w:t>
      </w:r>
      <w:r w:rsidR="00593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 </w:t>
      </w:r>
      <w:r w:rsidR="00A93EAD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218</w:t>
      </w:r>
      <w:r w:rsidR="00593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A93EAD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634</w:t>
      </w:r>
      <w:r w:rsidR="00701B2C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,00 EUR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</w:t>
      </w:r>
      <w:r w:rsidR="0058179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čo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oproti rozpoč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tovaným</w:t>
      </w:r>
      <w:r w:rsidR="008C2C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výdavkom</w:t>
      </w:r>
      <w:r w:rsidR="008C2C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 sume 2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8 242 727,00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8C2C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EUR 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predstavuje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92,83</w:t>
      </w:r>
      <w:r w:rsidR="00701B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čerpanie,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t.j.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celkové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výdavky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oproti rozpočtovaným </w:t>
      </w:r>
      <w:r w:rsidR="00C50C3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boli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nižšie</w:t>
      </w:r>
      <w:r w:rsidR="003F13C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 2 </w:t>
      </w:r>
      <w:r w:rsidR="00701B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677 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6</w:t>
      </w:r>
      <w:r w:rsidR="00701B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07,00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  <w:r w:rsidR="00D9153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342EA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z čoho bežné</w:t>
      </w:r>
      <w:r w:rsidR="00701B2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výdavky boli nižšie o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1 329 476,00 EUR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50C3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342EA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C50C3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kapitálové</w:t>
      </w:r>
      <w:r w:rsidR="00342EA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výdavky boli nižšie o</w:t>
      </w:r>
      <w:r w:rsidR="003C7B3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196 631,00 EUR 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 výdavky  finančn</w:t>
      </w:r>
      <w:r w:rsidR="003C7B3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ých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operáci</w:t>
      </w:r>
      <w:r w:rsidR="002409E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í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497 986,00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EUR.</w:t>
      </w:r>
    </w:p>
    <w:p w14:paraId="219FDDD1" w14:textId="77777777" w:rsidR="00675EF8" w:rsidRPr="00D758FA" w:rsidRDefault="00675EF8" w:rsidP="00675EF8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lastRenderedPageBreak/>
        <w:t>Čerpanie rozpočtu bežných výdavkov</w:t>
      </w:r>
    </w:p>
    <w:p w14:paraId="4F90AAA8" w14:textId="7FF6296B" w:rsidR="00675EF8" w:rsidRPr="00D758FA" w:rsidRDefault="00675EF8" w:rsidP="00675EF8">
      <w:pPr>
        <w:pStyle w:val="Nadpis2"/>
        <w:numPr>
          <w:ilvl w:val="0"/>
          <w:numId w:val="0"/>
        </w:numPr>
        <w:ind w:left="576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 xml:space="preserve"> </w:t>
      </w:r>
    </w:p>
    <w:p w14:paraId="1F055F7F" w14:textId="4F996AFB" w:rsidR="00E13C1D" w:rsidRPr="00D758FA" w:rsidRDefault="00446C9F" w:rsidP="00D45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Bežné výdavky</w:t>
      </w:r>
      <w:r w:rsidR="00F12A4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bo</w:t>
      </w:r>
      <w:r w:rsidR="00754F2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li oproti 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schválenému </w:t>
      </w:r>
      <w:r w:rsidR="00754F2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rozpočtu čerpané na </w:t>
      </w:r>
      <w:r w:rsidR="0088722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</w:t>
      </w:r>
      <w:r w:rsidR="00BF7EA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</w:t>
      </w:r>
      <w:r w:rsidR="0088722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BF7EA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21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% v</w:t>
      </w:r>
      <w:r w:rsidR="003F13C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 výške </w:t>
      </w:r>
      <w:r w:rsidR="00BF7EA5" w:rsidRPr="00D758FA">
        <w:rPr>
          <w:rFonts w:ascii="Times New Roman" w:hAnsi="Times New Roman" w:cs="Times New Roman"/>
          <w:b/>
          <w:sz w:val="24"/>
          <w:szCs w:val="24"/>
        </w:rPr>
        <w:t>21 624 169,00</w:t>
      </w:r>
      <w:r w:rsidR="00593D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229" w:rsidRPr="00D758FA">
        <w:rPr>
          <w:rFonts w:ascii="Times New Roman" w:hAnsi="Times New Roman" w:cs="Times New Roman"/>
          <w:b/>
          <w:sz w:val="24"/>
          <w:szCs w:val="24"/>
        </w:rPr>
        <w:t>EUR</w:t>
      </w:r>
      <w:r w:rsidR="00593D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3C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 boli 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vynaložené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najmä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 mzd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y, 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poistné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13745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odvody</w:t>
      </w:r>
      <w:r w:rsidR="0013745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vo výške 12 912 723,00 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  </w:t>
      </w:r>
      <w:r w:rsidR="0013745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nákup tovarov a</w:t>
      </w:r>
      <w:r w:rsidR="0013745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služieb</w:t>
      </w:r>
      <w:r w:rsidR="0013745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vo výške 6 917 660,00 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príspevky </w:t>
      </w:r>
      <w:r w:rsidR="00071F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 športovú činnosť</w:t>
      </w:r>
      <w:r w:rsidR="00AE16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vo výške 1 677 592,00 EUR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splácanie úrokov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  ostatné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súvisiace 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výdavky</w:t>
      </w:r>
      <w:r w:rsidR="00AE16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vo výške 116 194,00 EUR</w:t>
      </w:r>
      <w:r w:rsidR="00E13C1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Podstatný vplyv na výšku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čerpania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celkových 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bežných výdavkov</w:t>
      </w:r>
      <w:r w:rsidR="00A04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má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04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školstvo</w:t>
      </w:r>
      <w:r w:rsidR="00DC556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AE16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 ktorom boli bežné výdavky čerpané v celkovej výške 11 173 607,00 EUR</w:t>
      </w:r>
      <w:r w:rsidR="00A04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AE16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čo predstavuje 51,67 % z celkových bežných výdavkov.</w:t>
      </w:r>
      <w:r w:rsidR="00A04CE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14:paraId="171F0759" w14:textId="77777777" w:rsidR="003F13C9" w:rsidRPr="00D758FA" w:rsidRDefault="003F13C9" w:rsidP="00D45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sk-SK"/>
        </w:rPr>
      </w:pPr>
    </w:p>
    <w:p w14:paraId="6543CDEE" w14:textId="6A8D0D5C" w:rsidR="000E3D24" w:rsidRPr="00D758FA" w:rsidRDefault="00771B1D" w:rsidP="000E3D24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 rozpočtu k</w:t>
      </w:r>
      <w:r w:rsidR="000E3D24" w:rsidRPr="00D758FA">
        <w:rPr>
          <w:rFonts w:eastAsia="Times New Roman" w:cs="Times New Roman"/>
          <w:lang w:eastAsia="sk-SK"/>
        </w:rPr>
        <w:t>apitálov</w:t>
      </w:r>
      <w:r w:rsidRPr="00D758FA">
        <w:rPr>
          <w:rFonts w:eastAsia="Times New Roman" w:cs="Times New Roman"/>
          <w:lang w:eastAsia="sk-SK"/>
        </w:rPr>
        <w:t xml:space="preserve">ých </w:t>
      </w:r>
      <w:r w:rsidR="000E3D24" w:rsidRPr="00D758FA">
        <w:rPr>
          <w:rFonts w:eastAsia="Times New Roman" w:cs="Times New Roman"/>
          <w:lang w:eastAsia="sk-SK"/>
        </w:rPr>
        <w:t xml:space="preserve"> výdavk</w:t>
      </w:r>
      <w:r w:rsidRPr="00D758FA">
        <w:rPr>
          <w:rFonts w:eastAsia="Times New Roman" w:cs="Times New Roman"/>
          <w:lang w:eastAsia="sk-SK"/>
        </w:rPr>
        <w:t>ov</w:t>
      </w:r>
      <w:r w:rsidR="000E3D24" w:rsidRPr="00D758FA">
        <w:rPr>
          <w:rFonts w:eastAsia="Times New Roman" w:cs="Times New Roman"/>
          <w:lang w:eastAsia="sk-SK"/>
        </w:rPr>
        <w:t xml:space="preserve"> </w:t>
      </w:r>
    </w:p>
    <w:p w14:paraId="688D2E25" w14:textId="77777777" w:rsidR="00771B1D" w:rsidRPr="00D758FA" w:rsidRDefault="00771B1D" w:rsidP="00535E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</w:p>
    <w:p w14:paraId="386CEF1C" w14:textId="663F4B68" w:rsidR="00C950C0" w:rsidRPr="00D758FA" w:rsidRDefault="002409E9" w:rsidP="00190F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Kapitálové </w:t>
      </w:r>
      <w:r w:rsidR="00446C9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výdavky</w:t>
      </w:r>
      <w:r w:rsidR="00190F7A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oproti rozpočtovaným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C950C0" w:rsidRPr="00D758FA">
        <w:rPr>
          <w:rFonts w:ascii="Times New Roman" w:hAnsi="Times New Roman" w:cs="Times New Roman"/>
          <w:sz w:val="24"/>
          <w:szCs w:val="24"/>
        </w:rPr>
        <w:t>3 797 554</w:t>
      </w:r>
      <w:r w:rsidR="00D13955" w:rsidRPr="00D758FA">
        <w:rPr>
          <w:rFonts w:ascii="Times New Roman" w:hAnsi="Times New Roman" w:cs="Times New Roman"/>
          <w:sz w:val="24"/>
          <w:szCs w:val="24"/>
        </w:rPr>
        <w:t>,00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7219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7219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boli čerpané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0E3D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 sume </w:t>
      </w:r>
      <w:r w:rsidR="00C950C0" w:rsidRPr="00D758FA">
        <w:rPr>
          <w:rFonts w:ascii="Times New Roman" w:hAnsi="Times New Roman" w:cs="Times New Roman"/>
          <w:b/>
          <w:bCs/>
          <w:sz w:val="24"/>
          <w:szCs w:val="24"/>
        </w:rPr>
        <w:t>3 600 923,27</w:t>
      </w:r>
      <w:r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 EUR,</w:t>
      </w:r>
      <w:r w:rsidRPr="00D758FA">
        <w:rPr>
          <w:rFonts w:ascii="Times New Roman" w:hAnsi="Times New Roman" w:cs="Times New Roman"/>
          <w:sz w:val="24"/>
          <w:szCs w:val="24"/>
        </w:rPr>
        <w:t xml:space="preserve"> t.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j. na </w:t>
      </w:r>
      <w:r w:rsidR="000701CB" w:rsidRPr="00D758FA">
        <w:rPr>
          <w:rFonts w:ascii="Times New Roman" w:hAnsi="Times New Roman" w:cs="Times New Roman"/>
          <w:sz w:val="24"/>
          <w:szCs w:val="24"/>
        </w:rPr>
        <w:t>94,82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 % </w:t>
      </w:r>
      <w:r w:rsidR="00A327F2" w:rsidRPr="00D758FA">
        <w:rPr>
          <w:rFonts w:ascii="Times New Roman" w:hAnsi="Times New Roman" w:cs="Times New Roman"/>
          <w:sz w:val="24"/>
          <w:szCs w:val="24"/>
        </w:rPr>
        <w:t xml:space="preserve">oproti </w:t>
      </w:r>
      <w:r w:rsidR="0072198F" w:rsidRPr="00D758FA">
        <w:rPr>
          <w:rFonts w:ascii="Times New Roman" w:hAnsi="Times New Roman" w:cs="Times New Roman"/>
          <w:sz w:val="24"/>
          <w:szCs w:val="24"/>
        </w:rPr>
        <w:t>schválené</w:t>
      </w:r>
      <w:r w:rsidR="00A327F2" w:rsidRPr="00D758FA">
        <w:rPr>
          <w:rFonts w:ascii="Times New Roman" w:hAnsi="Times New Roman" w:cs="Times New Roman"/>
          <w:sz w:val="24"/>
          <w:szCs w:val="24"/>
        </w:rPr>
        <w:t>mu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 rozpočtu. </w:t>
      </w:r>
      <w:r w:rsidR="002E644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Najväčšiu časť tvorili výdavky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 na rekonštrukci</w:t>
      </w:r>
      <w:r w:rsidR="00593D88">
        <w:rPr>
          <w:rFonts w:ascii="Times New Roman" w:hAnsi="Times New Roman" w:cs="Times New Roman"/>
          <w:sz w:val="24"/>
          <w:szCs w:val="24"/>
        </w:rPr>
        <w:t>e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C950C0" w:rsidRPr="00D758FA">
        <w:rPr>
          <w:rFonts w:ascii="Times New Roman" w:hAnsi="Times New Roman" w:cs="Times New Roman"/>
          <w:sz w:val="24"/>
          <w:szCs w:val="24"/>
        </w:rPr>
        <w:t>D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omu kultúry </w:t>
      </w:r>
      <w:r w:rsidRPr="00D758FA">
        <w:rPr>
          <w:rFonts w:ascii="Times New Roman" w:hAnsi="Times New Roman" w:cs="Times New Roman"/>
          <w:sz w:val="24"/>
          <w:szCs w:val="24"/>
        </w:rPr>
        <w:t>vo výške</w:t>
      </w:r>
      <w:r w:rsidR="00D13955" w:rsidRPr="00D758FA">
        <w:rPr>
          <w:rFonts w:ascii="Times New Roman" w:hAnsi="Times New Roman" w:cs="Times New Roman"/>
          <w:sz w:val="24"/>
          <w:szCs w:val="24"/>
        </w:rPr>
        <w:t xml:space="preserve"> 1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 112 158,49 </w:t>
      </w:r>
      <w:r w:rsidR="00D13955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, 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strechy plavárne v sume 1 434 942,61 EUR,  miestnych komunikácií  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spolu </w:t>
      </w:r>
      <w:r w:rsidR="00C950C0" w:rsidRPr="00D758FA">
        <w:rPr>
          <w:rFonts w:ascii="Times New Roman" w:hAnsi="Times New Roman" w:cs="Times New Roman"/>
          <w:sz w:val="24"/>
          <w:szCs w:val="24"/>
        </w:rPr>
        <w:t>v sume 2</w:t>
      </w:r>
      <w:r w:rsidR="00971688" w:rsidRPr="00D758FA">
        <w:rPr>
          <w:rFonts w:ascii="Times New Roman" w:hAnsi="Times New Roman" w:cs="Times New Roman"/>
          <w:sz w:val="24"/>
          <w:szCs w:val="24"/>
        </w:rPr>
        <w:t>57 584,00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 EUR, </w:t>
      </w:r>
      <w:r w:rsidR="00971688" w:rsidRPr="00D758FA">
        <w:rPr>
          <w:rFonts w:ascii="Times New Roman" w:hAnsi="Times New Roman" w:cs="Times New Roman"/>
          <w:sz w:val="24"/>
          <w:szCs w:val="24"/>
        </w:rPr>
        <w:t>z toho na rozsiahlu  rekonštrukciu mestských komunikácií bola čerpaná suma 239 577,00 EUR</w:t>
      </w:r>
      <w:r w:rsidR="00AE160B">
        <w:rPr>
          <w:rFonts w:ascii="Times New Roman" w:hAnsi="Times New Roman" w:cs="Times New Roman"/>
          <w:sz w:val="24"/>
          <w:szCs w:val="24"/>
        </w:rPr>
        <w:t xml:space="preserve"> a </w:t>
      </w:r>
      <w:r w:rsidR="00971688" w:rsidRPr="00D758FA">
        <w:rPr>
          <w:rFonts w:ascii="Times New Roman" w:hAnsi="Times New Roman" w:cs="Times New Roman"/>
          <w:sz w:val="24"/>
          <w:szCs w:val="24"/>
        </w:rPr>
        <w:t>na zvislé  d</w:t>
      </w:r>
      <w:r w:rsidR="00AE160B">
        <w:rPr>
          <w:rFonts w:ascii="Times New Roman" w:hAnsi="Times New Roman" w:cs="Times New Roman"/>
          <w:sz w:val="24"/>
          <w:szCs w:val="24"/>
        </w:rPr>
        <w:t xml:space="preserve">opravné značenie 18 007,00 EUR. </w:t>
      </w:r>
      <w:r w:rsidR="00FC2107">
        <w:rPr>
          <w:rFonts w:ascii="Times New Roman" w:hAnsi="Times New Roman" w:cs="Times New Roman"/>
          <w:sz w:val="24"/>
          <w:szCs w:val="24"/>
        </w:rPr>
        <w:t>Ď</w:t>
      </w:r>
      <w:r w:rsidR="00AE160B">
        <w:rPr>
          <w:rFonts w:ascii="Times New Roman" w:hAnsi="Times New Roman" w:cs="Times New Roman"/>
          <w:sz w:val="24"/>
          <w:szCs w:val="24"/>
        </w:rPr>
        <w:t xml:space="preserve">alej boli finančné prostriedky použité na </w:t>
      </w:r>
      <w:r w:rsidR="00593D88">
        <w:rPr>
          <w:rFonts w:ascii="Times New Roman" w:hAnsi="Times New Roman" w:cs="Times New Roman"/>
          <w:sz w:val="24"/>
          <w:szCs w:val="24"/>
        </w:rPr>
        <w:t xml:space="preserve">rekonštrukciu </w:t>
      </w:r>
      <w:r w:rsidR="00C950C0" w:rsidRPr="00D758FA">
        <w:rPr>
          <w:rFonts w:ascii="Times New Roman" w:hAnsi="Times New Roman" w:cs="Times New Roman"/>
          <w:sz w:val="24"/>
          <w:szCs w:val="24"/>
        </w:rPr>
        <w:t>Z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ákladnej školy 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Ľ. Štúra </w:t>
      </w:r>
      <w:r w:rsidR="00593D88">
        <w:rPr>
          <w:rFonts w:ascii="Times New Roman" w:hAnsi="Times New Roman" w:cs="Times New Roman"/>
          <w:sz w:val="24"/>
          <w:szCs w:val="24"/>
        </w:rPr>
        <w:t xml:space="preserve">suma </w:t>
      </w:r>
      <w:r w:rsidR="00C950C0" w:rsidRPr="00D758FA">
        <w:rPr>
          <w:rFonts w:ascii="Times New Roman" w:hAnsi="Times New Roman" w:cs="Times New Roman"/>
          <w:sz w:val="24"/>
          <w:szCs w:val="24"/>
        </w:rPr>
        <w:t>234 </w:t>
      </w:r>
      <w:r w:rsidR="00FC2107">
        <w:rPr>
          <w:rFonts w:ascii="Times New Roman" w:hAnsi="Times New Roman" w:cs="Times New Roman"/>
          <w:sz w:val="24"/>
          <w:szCs w:val="24"/>
        </w:rPr>
        <w:t>421,00 EUR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 modernizáciu verejného osvetlenia </w:t>
      </w:r>
      <w:r w:rsidR="00593D88">
        <w:rPr>
          <w:rFonts w:ascii="Times New Roman" w:hAnsi="Times New Roman" w:cs="Times New Roman"/>
          <w:sz w:val="24"/>
          <w:szCs w:val="24"/>
        </w:rPr>
        <w:t xml:space="preserve">suma 115 000,00 EUR, vybudovanie </w:t>
      </w:r>
      <w:r w:rsidR="002947AF" w:rsidRPr="00D758FA">
        <w:rPr>
          <w:rFonts w:ascii="Times New Roman" w:hAnsi="Times New Roman" w:cs="Times New Roman"/>
          <w:sz w:val="24"/>
          <w:szCs w:val="24"/>
        </w:rPr>
        <w:t xml:space="preserve">3 ks </w:t>
      </w:r>
      <w:r w:rsidR="00C950C0" w:rsidRPr="00D758FA">
        <w:rPr>
          <w:rFonts w:ascii="Times New Roman" w:hAnsi="Times New Roman" w:cs="Times New Roman"/>
          <w:sz w:val="24"/>
          <w:szCs w:val="24"/>
        </w:rPr>
        <w:t>stanov</w:t>
      </w:r>
      <w:r w:rsidR="002947AF" w:rsidRPr="00D758FA">
        <w:rPr>
          <w:rFonts w:ascii="Times New Roman" w:hAnsi="Times New Roman" w:cs="Times New Roman"/>
          <w:sz w:val="24"/>
          <w:szCs w:val="24"/>
        </w:rPr>
        <w:t>í</w:t>
      </w:r>
      <w:r w:rsidR="00C950C0" w:rsidRPr="00D758FA">
        <w:rPr>
          <w:rFonts w:ascii="Times New Roman" w:hAnsi="Times New Roman" w:cs="Times New Roman"/>
          <w:sz w:val="24"/>
          <w:szCs w:val="24"/>
        </w:rPr>
        <w:t>š</w:t>
      </w:r>
      <w:r w:rsidR="00275B8E" w:rsidRPr="00D758FA">
        <w:rPr>
          <w:rFonts w:ascii="Times New Roman" w:hAnsi="Times New Roman" w:cs="Times New Roman"/>
          <w:sz w:val="24"/>
          <w:szCs w:val="24"/>
        </w:rPr>
        <w:t>ť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  kontajnerov vrátane kamier vo výške 98 126,34 EUR,</w:t>
      </w:r>
      <w:r w:rsidR="00275B8E" w:rsidRPr="00D758FA">
        <w:rPr>
          <w:rFonts w:ascii="Times New Roman" w:hAnsi="Times New Roman" w:cs="Times New Roman"/>
          <w:sz w:val="24"/>
          <w:szCs w:val="24"/>
        </w:rPr>
        <w:t xml:space="preserve"> rekonštrukciu kinosály s výmenou </w:t>
      </w:r>
      <w:r w:rsidR="00C950C0" w:rsidRPr="00D758FA">
        <w:rPr>
          <w:rFonts w:ascii="Times New Roman" w:hAnsi="Times New Roman" w:cs="Times New Roman"/>
          <w:sz w:val="24"/>
          <w:szCs w:val="24"/>
        </w:rPr>
        <w:t>seda</w:t>
      </w:r>
      <w:r w:rsidR="00275B8E" w:rsidRPr="00D758FA">
        <w:rPr>
          <w:rFonts w:ascii="Times New Roman" w:hAnsi="Times New Roman" w:cs="Times New Roman"/>
          <w:sz w:val="24"/>
          <w:szCs w:val="24"/>
        </w:rPr>
        <w:t xml:space="preserve">diel </w:t>
      </w:r>
      <w:r w:rsidR="00C950C0" w:rsidRPr="00D758FA">
        <w:rPr>
          <w:rFonts w:ascii="Times New Roman" w:hAnsi="Times New Roman" w:cs="Times New Roman"/>
          <w:sz w:val="24"/>
          <w:szCs w:val="24"/>
        </w:rPr>
        <w:t>vo výške 77 936,39 EUR</w:t>
      </w:r>
      <w:r w:rsidR="00275B8E" w:rsidRPr="00D758FA">
        <w:rPr>
          <w:rFonts w:ascii="Times New Roman" w:hAnsi="Times New Roman" w:cs="Times New Roman"/>
          <w:sz w:val="24"/>
          <w:szCs w:val="24"/>
        </w:rPr>
        <w:t>.</w:t>
      </w:r>
    </w:p>
    <w:p w14:paraId="7FCB2CBF" w14:textId="77777777" w:rsidR="00C950C0" w:rsidRPr="00D758FA" w:rsidRDefault="00C950C0" w:rsidP="00190F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5DFE31" w14:textId="4DD67034" w:rsidR="009167A9" w:rsidRDefault="00AC7085" w:rsidP="009167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>Čerpanie kapitálových výdavkov</w:t>
      </w:r>
      <w:r w:rsidRPr="00D758FA">
        <w:rPr>
          <w:rFonts w:ascii="Times New Roman" w:hAnsi="Times New Roman" w:cs="Times New Roman"/>
          <w:sz w:val="24"/>
          <w:szCs w:val="24"/>
        </w:rPr>
        <w:t xml:space="preserve"> bolo financovan</w:t>
      </w:r>
      <w:r w:rsidR="00A327F2" w:rsidRPr="00D758FA">
        <w:rPr>
          <w:rFonts w:ascii="Times New Roman" w:hAnsi="Times New Roman" w:cs="Times New Roman"/>
          <w:sz w:val="24"/>
          <w:szCs w:val="24"/>
        </w:rPr>
        <w:t>é</w:t>
      </w:r>
      <w:r w:rsidRPr="00D758FA">
        <w:rPr>
          <w:rFonts w:ascii="Times New Roman" w:hAnsi="Times New Roman" w:cs="Times New Roman"/>
          <w:sz w:val="24"/>
          <w:szCs w:val="24"/>
        </w:rPr>
        <w:t xml:space="preserve"> v značnej miere </w:t>
      </w:r>
      <w:r w:rsidR="00944081" w:rsidRPr="00D758FA">
        <w:rPr>
          <w:rFonts w:ascii="Times New Roman" w:hAnsi="Times New Roman" w:cs="Times New Roman"/>
          <w:sz w:val="24"/>
          <w:szCs w:val="24"/>
        </w:rPr>
        <w:t>z vlastných zdrojov</w:t>
      </w:r>
      <w:r w:rsidR="00593D88">
        <w:rPr>
          <w:rFonts w:ascii="Times New Roman" w:hAnsi="Times New Roman" w:cs="Times New Roman"/>
          <w:sz w:val="24"/>
          <w:szCs w:val="24"/>
        </w:rPr>
        <w:t>,</w:t>
      </w:r>
      <w:r w:rsidR="00944081" w:rsidRPr="00D758FA">
        <w:rPr>
          <w:rFonts w:ascii="Times New Roman" w:hAnsi="Times New Roman" w:cs="Times New Roman"/>
          <w:sz w:val="24"/>
          <w:szCs w:val="24"/>
        </w:rPr>
        <w:t xml:space="preserve"> a to </w:t>
      </w:r>
      <w:r w:rsidRPr="00D758FA">
        <w:rPr>
          <w:rFonts w:ascii="Times New Roman" w:hAnsi="Times New Roman" w:cs="Times New Roman"/>
          <w:sz w:val="24"/>
          <w:szCs w:val="24"/>
        </w:rPr>
        <w:t>z prostriedkov rezervného fondu</w:t>
      </w:r>
      <w:r w:rsidR="0030416A" w:rsidRPr="00D758FA">
        <w:rPr>
          <w:rFonts w:ascii="Times New Roman" w:hAnsi="Times New Roman" w:cs="Times New Roman"/>
          <w:sz w:val="24"/>
          <w:szCs w:val="24"/>
        </w:rPr>
        <w:t xml:space="preserve"> vo výške </w:t>
      </w:r>
      <w:r w:rsidR="00944081" w:rsidRPr="00D758FA">
        <w:rPr>
          <w:rFonts w:ascii="Times New Roman" w:hAnsi="Times New Roman" w:cs="Times New Roman"/>
          <w:sz w:val="24"/>
          <w:szCs w:val="24"/>
        </w:rPr>
        <w:t xml:space="preserve"> 1 376 225,14</w:t>
      </w:r>
      <w:r w:rsidR="0030416A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A327F2" w:rsidRPr="00D758FA">
        <w:rPr>
          <w:rFonts w:ascii="Times New Roman" w:hAnsi="Times New Roman" w:cs="Times New Roman"/>
          <w:sz w:val="24"/>
          <w:szCs w:val="24"/>
        </w:rPr>
        <w:t xml:space="preserve">, </w:t>
      </w:r>
      <w:r w:rsidR="00944081" w:rsidRPr="00D758FA">
        <w:rPr>
          <w:rFonts w:ascii="Times New Roman" w:hAnsi="Times New Roman" w:cs="Times New Roman"/>
          <w:sz w:val="24"/>
          <w:szCs w:val="24"/>
        </w:rPr>
        <w:t xml:space="preserve"> kapitálových príjmov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 v </w:t>
      </w:r>
      <w:r w:rsidR="00944081" w:rsidRPr="00D758FA">
        <w:rPr>
          <w:rFonts w:ascii="Times New Roman" w:hAnsi="Times New Roman" w:cs="Times New Roman"/>
          <w:sz w:val="24"/>
          <w:szCs w:val="24"/>
        </w:rPr>
        <w:t>sum</w:t>
      </w:r>
      <w:r w:rsidR="00971688" w:rsidRPr="00D758FA">
        <w:rPr>
          <w:rFonts w:ascii="Times New Roman" w:hAnsi="Times New Roman" w:cs="Times New Roman"/>
          <w:sz w:val="24"/>
          <w:szCs w:val="24"/>
        </w:rPr>
        <w:t>e</w:t>
      </w:r>
      <w:r w:rsidR="00944081" w:rsidRPr="00D758FA">
        <w:rPr>
          <w:rFonts w:ascii="Times New Roman" w:hAnsi="Times New Roman" w:cs="Times New Roman"/>
          <w:sz w:val="24"/>
          <w:szCs w:val="24"/>
        </w:rPr>
        <w:t xml:space="preserve"> 99 475,79 EUR a z vlastných bežných príjmov </w:t>
      </w:r>
      <w:r w:rsidR="00FC2107">
        <w:rPr>
          <w:rFonts w:ascii="Times New Roman" w:hAnsi="Times New Roman" w:cs="Times New Roman"/>
          <w:sz w:val="24"/>
          <w:szCs w:val="24"/>
        </w:rPr>
        <w:t xml:space="preserve">suma </w:t>
      </w:r>
      <w:r w:rsidR="00944081" w:rsidRPr="00D758FA">
        <w:rPr>
          <w:rFonts w:ascii="Times New Roman" w:hAnsi="Times New Roman" w:cs="Times New Roman"/>
          <w:sz w:val="24"/>
          <w:szCs w:val="24"/>
        </w:rPr>
        <w:t>81 170,68 EUR.</w:t>
      </w:r>
      <w:r w:rsidR="009167A9" w:rsidRPr="00D758FA">
        <w:rPr>
          <w:rFonts w:ascii="Times New Roman" w:hAnsi="Times New Roman" w:cs="Times New Roman"/>
          <w:sz w:val="24"/>
          <w:szCs w:val="24"/>
        </w:rPr>
        <w:t xml:space="preserve"> Ďalším zdrojom financovania kapitálových výdavkov boli cudzie zdroje</w:t>
      </w:r>
      <w:r w:rsidR="00593D88">
        <w:rPr>
          <w:rFonts w:ascii="Times New Roman" w:hAnsi="Times New Roman" w:cs="Times New Roman"/>
          <w:sz w:val="24"/>
          <w:szCs w:val="24"/>
        </w:rPr>
        <w:t xml:space="preserve"> </w:t>
      </w:r>
      <w:r w:rsidR="00FC2107">
        <w:rPr>
          <w:rFonts w:ascii="Times New Roman" w:hAnsi="Times New Roman" w:cs="Times New Roman"/>
          <w:sz w:val="24"/>
          <w:szCs w:val="24"/>
        </w:rPr>
        <w:t>v celkovej</w:t>
      </w:r>
      <w:r w:rsidR="009167A9" w:rsidRPr="00D758FA">
        <w:rPr>
          <w:rFonts w:ascii="Times New Roman" w:hAnsi="Times New Roman" w:cs="Times New Roman"/>
          <w:sz w:val="24"/>
          <w:szCs w:val="24"/>
        </w:rPr>
        <w:t xml:space="preserve"> výške 2 044 051,66 </w:t>
      </w:r>
      <w:r w:rsidR="00593D88">
        <w:rPr>
          <w:rFonts w:ascii="Times New Roman" w:hAnsi="Times New Roman" w:cs="Times New Roman"/>
          <w:sz w:val="24"/>
          <w:szCs w:val="24"/>
        </w:rPr>
        <w:t>EUR,</w:t>
      </w:r>
      <w:r w:rsidR="00FC2107">
        <w:rPr>
          <w:rFonts w:ascii="Times New Roman" w:hAnsi="Times New Roman" w:cs="Times New Roman"/>
          <w:sz w:val="24"/>
          <w:szCs w:val="24"/>
        </w:rPr>
        <w:t xml:space="preserve"> z toho z grantov </w:t>
      </w:r>
      <w:r w:rsidR="009167A9" w:rsidRPr="00D758FA">
        <w:rPr>
          <w:rFonts w:ascii="Times New Roman" w:hAnsi="Times New Roman" w:cs="Times New Roman"/>
          <w:sz w:val="24"/>
          <w:szCs w:val="24"/>
        </w:rPr>
        <w:t xml:space="preserve">a transferov boli poskytnuté finančné prostriedky v sume 1 379 647,57 EUR a z úverových zdrojov </w:t>
      </w:r>
      <w:r w:rsidR="00593D88">
        <w:rPr>
          <w:rFonts w:ascii="Times New Roman" w:hAnsi="Times New Roman" w:cs="Times New Roman"/>
          <w:sz w:val="24"/>
          <w:szCs w:val="24"/>
        </w:rPr>
        <w:t xml:space="preserve">bola čerpaná suma </w:t>
      </w:r>
      <w:r w:rsidR="009167A9" w:rsidRPr="00D758FA">
        <w:rPr>
          <w:rFonts w:ascii="Times New Roman" w:hAnsi="Times New Roman" w:cs="Times New Roman"/>
          <w:sz w:val="24"/>
          <w:szCs w:val="24"/>
        </w:rPr>
        <w:t>664 404,09 EUR.</w:t>
      </w:r>
    </w:p>
    <w:p w14:paraId="53EE8495" w14:textId="77777777" w:rsidR="00FC2107" w:rsidRPr="00D758FA" w:rsidRDefault="00FC2107" w:rsidP="009167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E23855" w14:textId="058572A1" w:rsidR="00771B1D" w:rsidRPr="00D758FA" w:rsidRDefault="00771B1D" w:rsidP="00771B1D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 rozpočtu finančných operácií</w:t>
      </w:r>
    </w:p>
    <w:p w14:paraId="02F750CD" w14:textId="564D30EB" w:rsidR="00771B1D" w:rsidRPr="00D758FA" w:rsidRDefault="00771B1D" w:rsidP="00307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4F31C5A2" w14:textId="11BBD94F" w:rsidR="00E327A8" w:rsidRPr="00D758FA" w:rsidRDefault="00EB05F9" w:rsidP="00307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Celkové plnenie finančných operácií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70A9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bolo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</w:t>
      </w:r>
      <w:r w:rsidR="00884E71" w:rsidRPr="00D758FA">
        <w:rPr>
          <w:rFonts w:ascii="Times New Roman" w:hAnsi="Times New Roman" w:cs="Times New Roman"/>
          <w:b/>
          <w:bCs/>
          <w:sz w:val="24"/>
          <w:szCs w:val="24"/>
        </w:rPr>
        <w:t>993 541,50</w:t>
      </w:r>
      <w:r w:rsidR="00C631A2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="00190F7A" w:rsidRPr="00D758FA">
        <w:rPr>
          <w:rFonts w:ascii="Times New Roman" w:hAnsi="Times New Roman" w:cs="Times New Roman"/>
          <w:sz w:val="24"/>
          <w:szCs w:val="24"/>
        </w:rPr>
        <w:t xml:space="preserve">, 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čo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oproti rozpočt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ovaným prostriedkom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vo výške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B035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1 491 528,00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 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predstavovalo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plnen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ie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66,61 </w:t>
      </w:r>
      <w:r w:rsidR="00670A9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</w:t>
      </w:r>
      <w:r w:rsidR="00D432E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dôvodu</w:t>
      </w:r>
      <w:r w:rsidR="00D432E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nečerpania kontokorentného úveru vo výške 500 000,00 EUR, ktoré boli 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uznesením </w:t>
      </w:r>
      <w:r w:rsidR="00D432E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MsZ schválené na vykrytie časového nesúladu medzi pr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íjmami a výdavkami v priebehu roka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14:paraId="23D8D82D" w14:textId="369B5DB9" w:rsidR="00CA0BEF" w:rsidRDefault="00D432E8" w:rsidP="00307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Čerpanie </w:t>
      </w:r>
      <w:r w:rsidR="00E327A8" w:rsidRPr="00D758F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finančných operácií</w:t>
      </w:r>
      <w:r w:rsidR="00E327A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bolo použité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najmä na splátky istiny z reštrukturalizovaného úveru vo výške 447 784,00 EUR, ktorý sa začal splácať v roku 2022. Ďalej boli finančné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prostriedky čerpané na splátky istín zo ŠFRB vo výške  204 818,00 EUR, splátku preklenovacieho úveru, ktorý bol čerpaný vo výške 318 827,00 na úhradu faktúry za rekonštrukciu DK, 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splátk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 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lízingu za automobil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MsKS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3 113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,00 EUR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vráten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zábezpek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y z nájomných  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byt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 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bola použitá suma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12 914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,00 EUR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suma 6 086,00 bola použitá z transparentného účtu na pomoc Ukrajine.</w:t>
      </w:r>
    </w:p>
    <w:p w14:paraId="6C61FE28" w14:textId="77777777" w:rsidR="00B4491D" w:rsidRDefault="00B4491D" w:rsidP="00307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9851763" w14:textId="6EC9C56D" w:rsidR="00446C9F" w:rsidRPr="00D758FA" w:rsidRDefault="00B43AC0" w:rsidP="00174E3E">
      <w:pPr>
        <w:pStyle w:val="Nadpis1"/>
        <w:spacing w:before="0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Bilančné vzťahy</w:t>
      </w:r>
      <w:r w:rsidR="00FC56DD" w:rsidRPr="00D758FA">
        <w:rPr>
          <w:rFonts w:eastAsia="Times New Roman" w:cs="Times New Roman"/>
          <w:lang w:eastAsia="sk-SK"/>
        </w:rPr>
        <w:t xml:space="preserve"> </w:t>
      </w:r>
    </w:p>
    <w:p w14:paraId="5B522F21" w14:textId="77777777" w:rsidR="007A40EC" w:rsidRPr="00D758FA" w:rsidRDefault="007A40EC" w:rsidP="007A40EC">
      <w:pPr>
        <w:pStyle w:val="Odsekzoznamu"/>
        <w:shd w:val="clear" w:color="auto" w:fill="FFFFFF"/>
        <w:spacing w:after="0" w:line="240" w:lineRule="auto"/>
        <w:ind w:left="0"/>
        <w:rPr>
          <w:rFonts w:ascii="Times New Roman" w:eastAsia="Arial" w:hAnsi="Times New Roman" w:cs="Times New Roman"/>
          <w:sz w:val="24"/>
          <w:szCs w:val="24"/>
        </w:rPr>
      </w:pPr>
    </w:p>
    <w:p w14:paraId="7679E970" w14:textId="407438EF" w:rsidR="00FE29D4" w:rsidRDefault="00BF4EC8" w:rsidP="006246C4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Návrh záverečného účtu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 xml:space="preserve"> mesta</w:t>
      </w:r>
      <w:r w:rsidR="003C238C" w:rsidRPr="00D758FA">
        <w:rPr>
          <w:rFonts w:ascii="Times New Roman" w:eastAsia="Arial" w:hAnsi="Times New Roman" w:cs="Times New Roman"/>
          <w:sz w:val="24"/>
          <w:szCs w:val="24"/>
        </w:rPr>
        <w:t xml:space="preserve"> Šaľa 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za rok 202</w:t>
      </w:r>
      <w:r w:rsidR="00636971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obsahuje bilanciu aktív a pasív uvedenú v prehľadnej štruktúre v súlade s</w:t>
      </w:r>
      <w:r w:rsidR="00F5404C">
        <w:rPr>
          <w:rFonts w:ascii="Times New Roman" w:eastAsia="Arial" w:hAnsi="Times New Roman" w:cs="Times New Roman"/>
          <w:sz w:val="24"/>
          <w:szCs w:val="24"/>
        </w:rPr>
        <w:t> 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výkazom</w:t>
      </w:r>
      <w:r w:rsidR="00F5404C">
        <w:rPr>
          <w:rFonts w:ascii="Times New Roman" w:eastAsia="Arial" w:hAnsi="Times New Roman" w:cs="Times New Roman"/>
          <w:sz w:val="24"/>
          <w:szCs w:val="24"/>
        </w:rPr>
        <w:t xml:space="preserve"> Súvahy ROPO SFOV1-01</w:t>
      </w:r>
      <w:r w:rsidR="007A40EC" w:rsidRPr="00DB4B54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7A40EC" w:rsidRPr="00D758FA">
        <w:rPr>
          <w:rFonts w:ascii="Times New Roman" w:eastAsia="Arial" w:hAnsi="Times New Roman" w:cs="Times New Roman"/>
          <w:sz w:val="24"/>
          <w:szCs w:val="24"/>
        </w:rPr>
        <w:t>ktor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á </w:t>
      </w:r>
      <w:r w:rsidR="007A40EC" w:rsidRPr="00D758FA">
        <w:rPr>
          <w:rFonts w:ascii="Times New Roman" w:eastAsia="Arial" w:hAnsi="Times New Roman" w:cs="Times New Roman"/>
          <w:sz w:val="24"/>
          <w:szCs w:val="24"/>
        </w:rPr>
        <w:t>je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A40EC" w:rsidRPr="00D758FA">
        <w:rPr>
          <w:rFonts w:ascii="Times New Roman" w:eastAsia="Arial" w:hAnsi="Times New Roman" w:cs="Times New Roman"/>
          <w:sz w:val="24"/>
          <w:szCs w:val="24"/>
        </w:rPr>
        <w:t>vyrovnan</w:t>
      </w:r>
      <w:r w:rsidR="003C238C" w:rsidRPr="00D758FA">
        <w:rPr>
          <w:rFonts w:ascii="Times New Roman" w:eastAsia="Arial" w:hAnsi="Times New Roman" w:cs="Times New Roman"/>
          <w:sz w:val="24"/>
          <w:szCs w:val="24"/>
        </w:rPr>
        <w:t>á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a </w:t>
      </w:r>
      <w:r w:rsidR="00342EA3" w:rsidRPr="00D758FA">
        <w:rPr>
          <w:rFonts w:ascii="Times New Roman" w:eastAsia="Arial" w:hAnsi="Times New Roman" w:cs="Times New Roman"/>
          <w:sz w:val="24"/>
          <w:szCs w:val="24"/>
        </w:rPr>
        <w:t>rozdiel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 xml:space="preserve"> vo vykázaných </w:t>
      </w:r>
      <w:r w:rsidR="00342EA3" w:rsidRPr="00D758FA">
        <w:rPr>
          <w:rFonts w:ascii="Times New Roman" w:eastAsia="Arial" w:hAnsi="Times New Roman" w:cs="Times New Roman"/>
          <w:sz w:val="24"/>
          <w:szCs w:val="24"/>
        </w:rPr>
        <w:t>číselných údajoch zisten</w:t>
      </w:r>
      <w:r w:rsidR="003C238C" w:rsidRPr="00D758FA">
        <w:rPr>
          <w:rFonts w:ascii="Times New Roman" w:eastAsia="Arial" w:hAnsi="Times New Roman" w:cs="Times New Roman"/>
          <w:sz w:val="24"/>
          <w:szCs w:val="24"/>
        </w:rPr>
        <w:t>ý</w:t>
      </w:r>
      <w:r w:rsidR="00342EA3" w:rsidRPr="00D758FA">
        <w:rPr>
          <w:rFonts w:ascii="Times New Roman" w:eastAsia="Arial" w:hAnsi="Times New Roman" w:cs="Times New Roman"/>
          <w:sz w:val="24"/>
          <w:szCs w:val="24"/>
        </w:rPr>
        <w:t xml:space="preserve"> nebol.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8D7DBAA" w14:textId="7C431E7A" w:rsidR="00095E2B" w:rsidRPr="00095E2B" w:rsidRDefault="00095E2B" w:rsidP="00D22A65">
      <w:pPr>
        <w:pStyle w:val="Pismenka"/>
        <w:tabs>
          <w:tab w:val="clear" w:pos="426"/>
        </w:tabs>
        <w:ind w:left="0" w:firstLine="0"/>
        <w:rPr>
          <w:rFonts w:eastAsia="Arial"/>
          <w:b w:val="0"/>
          <w:bCs/>
          <w:sz w:val="24"/>
          <w:szCs w:val="24"/>
        </w:rPr>
      </w:pPr>
      <w:r w:rsidRPr="00D758FA">
        <w:rPr>
          <w:rFonts w:eastAsia="Arial"/>
          <w:sz w:val="24"/>
          <w:szCs w:val="24"/>
        </w:rPr>
        <w:lastRenderedPageBreak/>
        <w:t xml:space="preserve">Celková hodnota majetku </w:t>
      </w:r>
      <w:r w:rsidRPr="00D758FA">
        <w:rPr>
          <w:rFonts w:eastAsia="Arial"/>
          <w:b w:val="0"/>
          <w:sz w:val="24"/>
          <w:szCs w:val="24"/>
        </w:rPr>
        <w:t>mesta</w:t>
      </w:r>
      <w:r w:rsidRPr="00D758FA">
        <w:rPr>
          <w:rFonts w:eastAsia="Arial"/>
          <w:sz w:val="24"/>
          <w:szCs w:val="24"/>
        </w:rPr>
        <w:t xml:space="preserve"> </w:t>
      </w:r>
      <w:r w:rsidRPr="00D758FA">
        <w:rPr>
          <w:rFonts w:eastAsia="Arial"/>
          <w:b w:val="0"/>
          <w:bCs/>
          <w:sz w:val="24"/>
          <w:szCs w:val="24"/>
        </w:rPr>
        <w:t xml:space="preserve">k 31.12.2022 </w:t>
      </w:r>
      <w:r>
        <w:rPr>
          <w:rFonts w:eastAsia="Arial"/>
          <w:b w:val="0"/>
          <w:bCs/>
          <w:sz w:val="24"/>
          <w:szCs w:val="24"/>
        </w:rPr>
        <w:t>bola</w:t>
      </w:r>
      <w:r w:rsidRPr="00D758FA">
        <w:rPr>
          <w:rFonts w:eastAsia="Arial"/>
          <w:b w:val="0"/>
          <w:bCs/>
          <w:sz w:val="24"/>
          <w:szCs w:val="24"/>
        </w:rPr>
        <w:t xml:space="preserve"> </w:t>
      </w:r>
      <w:r w:rsidRPr="00D758FA">
        <w:rPr>
          <w:sz w:val="24"/>
          <w:szCs w:val="24"/>
        </w:rPr>
        <w:t>59 259 421,40</w:t>
      </w:r>
      <w:r w:rsidRPr="00D758FA">
        <w:rPr>
          <w:rFonts w:eastAsia="Arial"/>
          <w:b w:val="0"/>
          <w:bCs/>
          <w:sz w:val="24"/>
          <w:szCs w:val="24"/>
        </w:rPr>
        <w:t xml:space="preserve"> </w:t>
      </w:r>
      <w:r w:rsidRPr="00D758FA">
        <w:rPr>
          <w:rFonts w:eastAsia="Arial"/>
          <w:bCs/>
          <w:sz w:val="24"/>
          <w:szCs w:val="24"/>
        </w:rPr>
        <w:t>EUR</w:t>
      </w:r>
      <w:r w:rsidRPr="00D758FA">
        <w:rPr>
          <w:rFonts w:eastAsia="Arial"/>
          <w:b w:val="0"/>
          <w:bCs/>
          <w:sz w:val="24"/>
          <w:szCs w:val="24"/>
        </w:rPr>
        <w:t xml:space="preserve"> </w:t>
      </w:r>
      <w:r>
        <w:rPr>
          <w:rFonts w:eastAsia="Arial"/>
          <w:b w:val="0"/>
          <w:bCs/>
          <w:sz w:val="24"/>
          <w:szCs w:val="24"/>
        </w:rPr>
        <w:t xml:space="preserve">(vrátane majetku odovzdaného do správy rozpočtovým organizáciám). </w:t>
      </w:r>
      <w:r w:rsidRPr="00095E2B">
        <w:rPr>
          <w:rFonts w:eastAsia="Arial"/>
          <w:b w:val="0"/>
          <w:sz w:val="24"/>
          <w:szCs w:val="24"/>
        </w:rPr>
        <w:t xml:space="preserve">Najvyšší podiel na hodnote majetku mesta </w:t>
      </w:r>
      <w:r>
        <w:rPr>
          <w:rFonts w:eastAsia="Arial"/>
          <w:b w:val="0"/>
          <w:sz w:val="24"/>
          <w:szCs w:val="24"/>
        </w:rPr>
        <w:t xml:space="preserve">k 31.12.2022 </w:t>
      </w:r>
      <w:r w:rsidRPr="00095E2B">
        <w:rPr>
          <w:rFonts w:eastAsia="Arial"/>
          <w:b w:val="0"/>
          <w:sz w:val="24"/>
          <w:szCs w:val="24"/>
        </w:rPr>
        <w:t xml:space="preserve">má dlhodobý hmotný majetok </w:t>
      </w:r>
      <w:r>
        <w:rPr>
          <w:rFonts w:eastAsia="Arial"/>
          <w:b w:val="0"/>
          <w:sz w:val="24"/>
          <w:szCs w:val="24"/>
        </w:rPr>
        <w:t xml:space="preserve">v objeme </w:t>
      </w:r>
      <w:r w:rsidRPr="00095E2B">
        <w:rPr>
          <w:rFonts w:eastAsia="Arial"/>
          <w:b w:val="0"/>
          <w:sz w:val="24"/>
          <w:szCs w:val="24"/>
        </w:rPr>
        <w:t xml:space="preserve"> 42 938 536,94 EUR</w:t>
      </w:r>
      <w:r>
        <w:rPr>
          <w:rFonts w:eastAsia="Arial"/>
          <w:sz w:val="24"/>
          <w:szCs w:val="24"/>
        </w:rPr>
        <w:t xml:space="preserve">,  </w:t>
      </w:r>
      <w:r w:rsidRPr="00095E2B">
        <w:rPr>
          <w:rFonts w:eastAsia="Arial"/>
          <w:b w:val="0"/>
          <w:sz w:val="24"/>
          <w:szCs w:val="24"/>
        </w:rPr>
        <w:t>ktorý sa oproti predchádzajúcemu rozpočtovému roku</w:t>
      </w:r>
      <w:r>
        <w:rPr>
          <w:rFonts w:eastAsia="Arial"/>
          <w:b w:val="0"/>
          <w:sz w:val="24"/>
          <w:szCs w:val="24"/>
        </w:rPr>
        <w:t xml:space="preserve"> zvýšil o 2 898 088,65 EUR. </w:t>
      </w:r>
    </w:p>
    <w:p w14:paraId="182545E9" w14:textId="50293AC4" w:rsidR="008749E4" w:rsidRPr="00095E2B" w:rsidRDefault="008749E4" w:rsidP="001B14F0">
      <w:pPr>
        <w:pStyle w:val="Pismenka"/>
        <w:tabs>
          <w:tab w:val="clear" w:pos="426"/>
        </w:tabs>
        <w:ind w:left="0" w:firstLine="0"/>
        <w:rPr>
          <w:b w:val="0"/>
          <w:sz w:val="24"/>
          <w:szCs w:val="24"/>
        </w:rPr>
      </w:pPr>
    </w:p>
    <w:p w14:paraId="53BD8BD3" w14:textId="77777777" w:rsidR="007A5518" w:rsidRPr="00D758FA" w:rsidRDefault="00752011" w:rsidP="00C62B28">
      <w:pPr>
        <w:pStyle w:val="Nadpis2"/>
        <w:rPr>
          <w:rFonts w:eastAsia="Arial" w:cs="Times New Roman"/>
        </w:rPr>
      </w:pPr>
      <w:r w:rsidRPr="00D758FA">
        <w:rPr>
          <w:rFonts w:eastAsia="Arial" w:cs="Times New Roman"/>
        </w:rPr>
        <w:t>Bilancia pohľadávok</w:t>
      </w:r>
      <w:r w:rsidR="00654643" w:rsidRPr="00D758FA">
        <w:rPr>
          <w:rFonts w:eastAsia="Arial" w:cs="Times New Roman"/>
        </w:rPr>
        <w:t xml:space="preserve"> </w:t>
      </w:r>
    </w:p>
    <w:p w14:paraId="782C5F40" w14:textId="77777777" w:rsidR="009D4999" w:rsidRPr="00D758FA" w:rsidRDefault="009D4999" w:rsidP="00752011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C043C2F" w14:textId="7D46AE1B" w:rsidR="009D4999" w:rsidRPr="00D758FA" w:rsidRDefault="009D4999" w:rsidP="00752011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V</w:t>
      </w:r>
      <w:r w:rsidR="00D71B23">
        <w:rPr>
          <w:rFonts w:ascii="Times New Roman" w:eastAsia="Arial" w:hAnsi="Times New Roman" w:cs="Times New Roman"/>
          <w:sz w:val="24"/>
          <w:szCs w:val="24"/>
        </w:rPr>
        <w:t xml:space="preserve"> nasledovnom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tabuľkovom prehľade </w:t>
      </w:r>
      <w:r w:rsidR="00953165">
        <w:rPr>
          <w:rFonts w:ascii="Times New Roman" w:eastAsia="Arial" w:hAnsi="Times New Roman" w:cs="Times New Roman"/>
          <w:sz w:val="24"/>
          <w:szCs w:val="24"/>
        </w:rPr>
        <w:t>je uvedená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53165">
        <w:rPr>
          <w:rFonts w:ascii="Times New Roman" w:eastAsia="Arial" w:hAnsi="Times New Roman" w:cs="Times New Roman"/>
          <w:sz w:val="24"/>
          <w:szCs w:val="24"/>
        </w:rPr>
        <w:t>celková výška</w:t>
      </w:r>
      <w:r w:rsidR="00B43AC0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eastAsia="Arial" w:hAnsi="Times New Roman" w:cs="Times New Roman"/>
          <w:sz w:val="24"/>
          <w:szCs w:val="24"/>
        </w:rPr>
        <w:t>pohľadávok</w:t>
      </w:r>
      <w:r w:rsidR="00B43AC0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71B23">
        <w:rPr>
          <w:rFonts w:ascii="Times New Roman" w:eastAsia="Arial" w:hAnsi="Times New Roman" w:cs="Times New Roman"/>
          <w:sz w:val="24"/>
          <w:szCs w:val="24"/>
        </w:rPr>
        <w:t>od roku 2019 do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rok</w:t>
      </w:r>
      <w:r w:rsidR="00D71B23">
        <w:rPr>
          <w:rFonts w:ascii="Times New Roman" w:eastAsia="Arial" w:hAnsi="Times New Roman" w:cs="Times New Roman"/>
          <w:sz w:val="24"/>
          <w:szCs w:val="24"/>
        </w:rPr>
        <w:t>u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202</w:t>
      </w:r>
      <w:r w:rsidR="001B14F0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D71B23">
        <w:rPr>
          <w:rFonts w:ascii="Times New Roman" w:eastAsia="Arial" w:hAnsi="Times New Roman" w:cs="Times New Roman"/>
          <w:sz w:val="24"/>
          <w:szCs w:val="24"/>
        </w:rPr>
        <w:t>.</w:t>
      </w:r>
    </w:p>
    <w:p w14:paraId="29A9FA57" w14:textId="402C224B" w:rsidR="00752011" w:rsidRPr="00D758FA" w:rsidRDefault="007A5518" w:rsidP="00752011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  <w:vertAlign w:val="superscript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407ADC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54643" w:rsidRPr="00D758FA">
        <w:rPr>
          <w:rFonts w:ascii="Times New Roman" w:eastAsia="Arial" w:hAnsi="Times New Roman" w:cs="Times New Roman"/>
          <w:sz w:val="24"/>
          <w:szCs w:val="24"/>
          <w:vertAlign w:val="superscript"/>
        </w:rPr>
        <w:t>v EUR</w:t>
      </w:r>
    </w:p>
    <w:tbl>
      <w:tblPr>
        <w:tblW w:w="87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3"/>
        <w:gridCol w:w="1239"/>
        <w:gridCol w:w="1439"/>
        <w:gridCol w:w="1339"/>
        <w:gridCol w:w="1339"/>
        <w:gridCol w:w="1339"/>
      </w:tblGrid>
      <w:tr w:rsidR="001B14F0" w:rsidRPr="00D758FA" w14:paraId="5035EAB1" w14:textId="58E25A8B" w:rsidTr="001B14F0">
        <w:trPr>
          <w:trHeight w:val="251"/>
        </w:trPr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A987" w14:textId="77777777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Rok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129585" w14:textId="5192BF58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2018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EF4D8" w14:textId="0EF2C9F8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2019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0E7A2" w14:textId="3623D4FE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2020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A2A2A" w14:textId="7A6B65F9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2021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3E108" w14:textId="07E4A519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2022</w:t>
            </w:r>
          </w:p>
        </w:tc>
      </w:tr>
      <w:tr w:rsidR="001B14F0" w:rsidRPr="00D758FA" w14:paraId="6157633B" w14:textId="05541263" w:rsidTr="001B14F0">
        <w:trPr>
          <w:trHeight w:val="263"/>
        </w:trPr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560A" w14:textId="77777777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Výška pohľadávky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0C42FDEC" w14:textId="18479C96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762 380,71   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113FFF2" w14:textId="67E30169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743 875,29   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32947815" w14:textId="17AED59D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887 475,91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7F0E3F5" w14:textId="05340D34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933 017,51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74EA164" w14:textId="51E327F2" w:rsidR="001B14F0" w:rsidRPr="00D758FA" w:rsidRDefault="001B14F0" w:rsidP="001B1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959 673,59</w:t>
            </w:r>
          </w:p>
        </w:tc>
      </w:tr>
    </w:tbl>
    <w:p w14:paraId="4AE23183" w14:textId="77777777" w:rsidR="00DB4B54" w:rsidRDefault="00DB4B54" w:rsidP="00752011">
      <w:pPr>
        <w:tabs>
          <w:tab w:val="left" w:pos="426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14:paraId="1AAA40B6" w14:textId="143FAC18" w:rsidR="005D75D1" w:rsidRDefault="00301012" w:rsidP="00752011">
      <w:pPr>
        <w:tabs>
          <w:tab w:val="left" w:pos="426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Z uvedeného prehľadu je zrejm</w:t>
      </w:r>
      <w:r w:rsidR="00B43AC0" w:rsidRPr="00D758FA">
        <w:rPr>
          <w:rFonts w:ascii="Times New Roman" w:hAnsi="Times New Roman" w:cs="Times New Roman"/>
          <w:sz w:val="24"/>
          <w:szCs w:val="24"/>
        </w:rPr>
        <w:t>é, že výška pohľadávok m</w:t>
      </w:r>
      <w:r w:rsidR="001B14F0" w:rsidRPr="00D758FA">
        <w:rPr>
          <w:rFonts w:ascii="Times New Roman" w:hAnsi="Times New Roman" w:cs="Times New Roman"/>
          <w:sz w:val="24"/>
          <w:szCs w:val="24"/>
        </w:rPr>
        <w:t>ala</w:t>
      </w:r>
      <w:r w:rsidR="00B43AC0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B14F0" w:rsidRPr="00D758FA">
        <w:rPr>
          <w:rFonts w:ascii="Times New Roman" w:hAnsi="Times New Roman" w:cs="Times New Roman"/>
          <w:sz w:val="24"/>
          <w:szCs w:val="24"/>
        </w:rPr>
        <w:t>v</w:t>
      </w:r>
      <w:r w:rsidR="00B43AC0" w:rsidRPr="00D758FA">
        <w:rPr>
          <w:rFonts w:ascii="Times New Roman" w:hAnsi="Times New Roman" w:cs="Times New Roman"/>
          <w:sz w:val="24"/>
          <w:szCs w:val="24"/>
        </w:rPr>
        <w:t xml:space="preserve"> roku 201</w:t>
      </w:r>
      <w:r w:rsidR="001B14F0" w:rsidRPr="00D758FA">
        <w:rPr>
          <w:rFonts w:ascii="Times New Roman" w:hAnsi="Times New Roman" w:cs="Times New Roman"/>
          <w:sz w:val="24"/>
          <w:szCs w:val="24"/>
        </w:rPr>
        <w:t>8</w:t>
      </w:r>
      <w:r w:rsidR="00B43AC0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B14F0" w:rsidRPr="00D758FA">
        <w:rPr>
          <w:rFonts w:ascii="Times New Roman" w:hAnsi="Times New Roman" w:cs="Times New Roman"/>
          <w:sz w:val="24"/>
          <w:szCs w:val="24"/>
        </w:rPr>
        <w:t xml:space="preserve">a </w:t>
      </w:r>
      <w:r w:rsidR="00351DF7" w:rsidRPr="00D758FA">
        <w:rPr>
          <w:rFonts w:ascii="Times New Roman" w:hAnsi="Times New Roman" w:cs="Times New Roman"/>
          <w:sz w:val="24"/>
          <w:szCs w:val="24"/>
        </w:rPr>
        <w:t>2019</w:t>
      </w:r>
      <w:r w:rsidRPr="00D758FA">
        <w:rPr>
          <w:rFonts w:ascii="Times New Roman" w:hAnsi="Times New Roman" w:cs="Times New Roman"/>
          <w:sz w:val="24"/>
          <w:szCs w:val="24"/>
        </w:rPr>
        <w:t xml:space="preserve"> klesajúcu tendenciu</w:t>
      </w:r>
      <w:r w:rsidR="00BF4EC8" w:rsidRPr="00D758FA">
        <w:rPr>
          <w:rFonts w:ascii="Times New Roman" w:hAnsi="Times New Roman" w:cs="Times New Roman"/>
          <w:sz w:val="24"/>
          <w:szCs w:val="24"/>
        </w:rPr>
        <w:t xml:space="preserve">. </w:t>
      </w:r>
      <w:r w:rsidR="001B14F0" w:rsidRPr="00D758FA">
        <w:rPr>
          <w:rFonts w:ascii="Times New Roman" w:hAnsi="Times New Roman" w:cs="Times New Roman"/>
          <w:sz w:val="24"/>
          <w:szCs w:val="24"/>
        </w:rPr>
        <w:t>Od</w:t>
      </w:r>
      <w:r w:rsidR="00DE3EC2" w:rsidRPr="00D758FA">
        <w:rPr>
          <w:rFonts w:ascii="Times New Roman" w:hAnsi="Times New Roman" w:cs="Times New Roman"/>
          <w:sz w:val="24"/>
          <w:szCs w:val="24"/>
        </w:rPr>
        <w:t xml:space="preserve"> roku </w:t>
      </w:r>
      <w:r w:rsidR="00351DF7" w:rsidRPr="00D758FA">
        <w:rPr>
          <w:rFonts w:ascii="Times New Roman" w:hAnsi="Times New Roman" w:cs="Times New Roman"/>
          <w:sz w:val="24"/>
          <w:szCs w:val="24"/>
        </w:rPr>
        <w:t xml:space="preserve">2020 sa </w:t>
      </w:r>
      <w:r w:rsidR="007E424E" w:rsidRPr="00D758FA">
        <w:rPr>
          <w:rFonts w:ascii="Times New Roman" w:hAnsi="Times New Roman" w:cs="Times New Roman"/>
          <w:sz w:val="24"/>
          <w:szCs w:val="24"/>
        </w:rPr>
        <w:t xml:space="preserve">celkové </w:t>
      </w:r>
      <w:r w:rsidR="00351DF7" w:rsidRPr="00D758FA">
        <w:rPr>
          <w:rFonts w:ascii="Times New Roman" w:hAnsi="Times New Roman" w:cs="Times New Roman"/>
          <w:sz w:val="24"/>
          <w:szCs w:val="24"/>
        </w:rPr>
        <w:t>pohľadávky zv</w:t>
      </w:r>
      <w:r w:rsidR="001B14F0" w:rsidRPr="00D758FA">
        <w:rPr>
          <w:rFonts w:ascii="Times New Roman" w:hAnsi="Times New Roman" w:cs="Times New Roman"/>
          <w:sz w:val="24"/>
          <w:szCs w:val="24"/>
        </w:rPr>
        <w:t>yšovali, čo spôsobilo</w:t>
      </w:r>
      <w:r w:rsidR="00D71B23">
        <w:rPr>
          <w:rFonts w:ascii="Times New Roman" w:hAnsi="Times New Roman" w:cs="Times New Roman"/>
          <w:sz w:val="24"/>
          <w:szCs w:val="24"/>
        </w:rPr>
        <w:t xml:space="preserve"> od roku</w:t>
      </w:r>
      <w:r w:rsidR="001B14F0" w:rsidRPr="00D758FA">
        <w:rPr>
          <w:rFonts w:ascii="Times New Roman" w:hAnsi="Times New Roman" w:cs="Times New Roman"/>
          <w:sz w:val="24"/>
          <w:szCs w:val="24"/>
        </w:rPr>
        <w:t xml:space="preserve"> 2021  medziročný nárast o </w:t>
      </w:r>
      <w:r w:rsidR="001B14F0" w:rsidRPr="00257848">
        <w:rPr>
          <w:rFonts w:ascii="Times New Roman" w:hAnsi="Times New Roman" w:cs="Times New Roman"/>
          <w:sz w:val="24"/>
          <w:szCs w:val="24"/>
        </w:rPr>
        <w:t>26 656,08 EUR.</w:t>
      </w:r>
      <w:r w:rsidR="00257848" w:rsidRPr="00257848">
        <w:rPr>
          <w:rFonts w:ascii="Times New Roman" w:hAnsi="Times New Roman" w:cs="Times New Roman"/>
          <w:sz w:val="24"/>
          <w:szCs w:val="24"/>
        </w:rPr>
        <w:t xml:space="preserve"> </w:t>
      </w:r>
      <w:r w:rsidR="007E424E" w:rsidRPr="00D758F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B34582" w:rsidRPr="00D758FA">
        <w:rPr>
          <w:rFonts w:ascii="Times New Roman" w:hAnsi="Times New Roman" w:cs="Times New Roman"/>
          <w:b/>
          <w:bCs/>
          <w:sz w:val="24"/>
          <w:szCs w:val="24"/>
        </w:rPr>
        <w:t>ohľadávky</w:t>
      </w:r>
      <w:r w:rsidR="00B34582" w:rsidRPr="00D758FA">
        <w:rPr>
          <w:rFonts w:ascii="Times New Roman" w:hAnsi="Times New Roman" w:cs="Times New Roman"/>
          <w:sz w:val="24"/>
          <w:szCs w:val="24"/>
        </w:rPr>
        <w:t xml:space="preserve"> za rok 202</w:t>
      </w:r>
      <w:r w:rsidR="001B14F0" w:rsidRPr="00D758FA">
        <w:rPr>
          <w:rFonts w:ascii="Times New Roman" w:hAnsi="Times New Roman" w:cs="Times New Roman"/>
          <w:sz w:val="24"/>
          <w:szCs w:val="24"/>
        </w:rPr>
        <w:t>2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B34582" w:rsidRPr="00D758FA">
        <w:rPr>
          <w:rFonts w:ascii="Times New Roman" w:hAnsi="Times New Roman" w:cs="Times New Roman"/>
          <w:sz w:val="24"/>
          <w:szCs w:val="24"/>
        </w:rPr>
        <w:t xml:space="preserve"> v</w:t>
      </w:r>
      <w:r w:rsidR="00DE3EC2" w:rsidRPr="00D758FA">
        <w:rPr>
          <w:rFonts w:ascii="Times New Roman" w:hAnsi="Times New Roman" w:cs="Times New Roman"/>
          <w:sz w:val="24"/>
          <w:szCs w:val="24"/>
        </w:rPr>
        <w:t xml:space="preserve"> celkovej </w:t>
      </w:r>
      <w:r w:rsidR="00B34582" w:rsidRPr="00D758FA">
        <w:rPr>
          <w:rFonts w:ascii="Times New Roman" w:hAnsi="Times New Roman" w:cs="Times New Roman"/>
          <w:sz w:val="24"/>
          <w:szCs w:val="24"/>
        </w:rPr>
        <w:t xml:space="preserve">výške 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90A8A" w:rsidRPr="00D758FA">
        <w:rPr>
          <w:rFonts w:ascii="Times New Roman" w:hAnsi="Times New Roman" w:cs="Times New Roman"/>
          <w:b/>
          <w:bCs/>
          <w:sz w:val="24"/>
          <w:szCs w:val="24"/>
        </w:rPr>
        <w:t>959 673,59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E3EC2" w:rsidRPr="00D758FA">
        <w:rPr>
          <w:rFonts w:ascii="Times New Roman" w:hAnsi="Times New Roman" w:cs="Times New Roman"/>
          <w:b/>
          <w:bCs/>
          <w:sz w:val="24"/>
          <w:szCs w:val="24"/>
        </w:rPr>
        <w:t>EUR</w:t>
      </w:r>
      <w:r w:rsidR="00DE3EC2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90A8A" w:rsidRPr="00D758FA">
        <w:rPr>
          <w:rFonts w:ascii="Times New Roman" w:hAnsi="Times New Roman" w:cs="Times New Roman"/>
          <w:sz w:val="24"/>
          <w:szCs w:val="24"/>
        </w:rPr>
        <w:t>boli</w:t>
      </w:r>
      <w:r w:rsidR="002A04A2" w:rsidRPr="00D758FA">
        <w:rPr>
          <w:rFonts w:ascii="Times New Roman" w:hAnsi="Times New Roman" w:cs="Times New Roman"/>
          <w:sz w:val="24"/>
          <w:szCs w:val="24"/>
        </w:rPr>
        <w:t xml:space="preserve"> tvorené najmä z nedoplatkov na komunálnom odpade vo výške 4</w:t>
      </w:r>
      <w:r w:rsidR="00190A8A" w:rsidRPr="00D758FA">
        <w:rPr>
          <w:rFonts w:ascii="Times New Roman" w:hAnsi="Times New Roman" w:cs="Times New Roman"/>
          <w:sz w:val="24"/>
          <w:szCs w:val="24"/>
        </w:rPr>
        <w:t>3</w:t>
      </w:r>
      <w:r w:rsidR="002A04A2" w:rsidRPr="00D758FA">
        <w:rPr>
          <w:rFonts w:ascii="Times New Roman" w:hAnsi="Times New Roman" w:cs="Times New Roman"/>
          <w:sz w:val="24"/>
          <w:szCs w:val="24"/>
        </w:rPr>
        <w:t>6 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209,98</w:t>
      </w:r>
      <w:r w:rsidR="002A04A2" w:rsidRPr="00D758FA">
        <w:rPr>
          <w:rFonts w:ascii="Times New Roman" w:hAnsi="Times New Roman" w:cs="Times New Roman"/>
          <w:sz w:val="24"/>
          <w:szCs w:val="24"/>
        </w:rPr>
        <w:t xml:space="preserve"> EUR, na nájomnom za byty vo výške 2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96 387,80 </w:t>
      </w:r>
      <w:r w:rsidR="002A04A2" w:rsidRPr="00D758FA">
        <w:rPr>
          <w:rFonts w:ascii="Times New Roman" w:hAnsi="Times New Roman" w:cs="Times New Roman"/>
          <w:sz w:val="24"/>
          <w:szCs w:val="24"/>
        </w:rPr>
        <w:t xml:space="preserve">EUR, </w:t>
      </w:r>
      <w:r w:rsidR="00DE7862" w:rsidRPr="00D758FA">
        <w:rPr>
          <w:rFonts w:ascii="Times New Roman" w:hAnsi="Times New Roman" w:cs="Times New Roman"/>
          <w:sz w:val="24"/>
          <w:szCs w:val="24"/>
        </w:rPr>
        <w:t>za daň z nehnuteľnosti v sume 1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47 006,00 </w:t>
      </w:r>
      <w:r w:rsidR="00DE7862" w:rsidRPr="00D758FA">
        <w:rPr>
          <w:rFonts w:ascii="Times New Roman" w:hAnsi="Times New Roman" w:cs="Times New Roman"/>
          <w:sz w:val="24"/>
          <w:szCs w:val="24"/>
        </w:rPr>
        <w:t>EUR</w:t>
      </w:r>
      <w:r w:rsidR="0040610B" w:rsidRPr="00D758FA">
        <w:rPr>
          <w:rFonts w:ascii="Times New Roman" w:hAnsi="Times New Roman" w:cs="Times New Roman"/>
          <w:sz w:val="24"/>
          <w:szCs w:val="24"/>
        </w:rPr>
        <w:t>,</w:t>
      </w:r>
      <w:r w:rsidR="004D0885" w:rsidRPr="00D758FA">
        <w:rPr>
          <w:rFonts w:ascii="Times New Roman" w:hAnsi="Times New Roman" w:cs="Times New Roman"/>
          <w:sz w:val="24"/>
          <w:szCs w:val="24"/>
        </w:rPr>
        <w:t xml:space="preserve">  z poplatku za rozvoj vo výške 4 746,00 EUR, </w:t>
      </w:r>
      <w:r w:rsidR="0040610B" w:rsidRPr="00D758FA">
        <w:rPr>
          <w:rFonts w:ascii="Times New Roman" w:hAnsi="Times New Roman" w:cs="Times New Roman"/>
          <w:sz w:val="24"/>
          <w:szCs w:val="24"/>
        </w:rPr>
        <w:t xml:space="preserve"> nájomné za nebytové priestory vo výške 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27 563,24 </w:t>
      </w:r>
      <w:r w:rsidR="0040610B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a nájomné z pozemkov vo výške 22 918,88 EUR</w:t>
      </w:r>
      <w:r w:rsidR="00190A8A" w:rsidRPr="00D758F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40610B" w:rsidRPr="00D758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A357F" w:rsidRPr="00D758FA">
        <w:rPr>
          <w:rFonts w:ascii="Times New Roman" w:hAnsi="Times New Roman" w:cs="Times New Roman"/>
          <w:sz w:val="24"/>
          <w:szCs w:val="24"/>
        </w:rPr>
        <w:t xml:space="preserve">V </w:t>
      </w:r>
      <w:r w:rsidR="0040610B" w:rsidRPr="00D758FA">
        <w:rPr>
          <w:rFonts w:ascii="Times New Roman" w:hAnsi="Times New Roman" w:cs="Times New Roman"/>
          <w:sz w:val="24"/>
          <w:szCs w:val="24"/>
        </w:rPr>
        <w:t>niektorých evidovaných pohľadáv</w:t>
      </w:r>
      <w:r w:rsidR="00190A8A" w:rsidRPr="00D758FA">
        <w:rPr>
          <w:rFonts w:ascii="Times New Roman" w:hAnsi="Times New Roman" w:cs="Times New Roman"/>
          <w:sz w:val="24"/>
          <w:szCs w:val="24"/>
        </w:rPr>
        <w:t>k</w:t>
      </w:r>
      <w:r w:rsidR="004A357F" w:rsidRPr="00D758FA">
        <w:rPr>
          <w:rFonts w:ascii="Times New Roman" w:hAnsi="Times New Roman" w:cs="Times New Roman"/>
          <w:sz w:val="24"/>
          <w:szCs w:val="24"/>
        </w:rPr>
        <w:t>ach</w:t>
      </w:r>
      <w:r w:rsidR="0040610B" w:rsidRPr="00D758FA">
        <w:rPr>
          <w:rFonts w:ascii="Times New Roman" w:hAnsi="Times New Roman" w:cs="Times New Roman"/>
          <w:sz w:val="24"/>
          <w:szCs w:val="24"/>
        </w:rPr>
        <w:t xml:space="preserve"> došlo k ich zníženiu oproti predchádzajúcemu</w:t>
      </w:r>
      <w:r w:rsidR="006D64F5" w:rsidRPr="00D758FA">
        <w:rPr>
          <w:rFonts w:ascii="Times New Roman" w:hAnsi="Times New Roman" w:cs="Times New Roman"/>
          <w:sz w:val="24"/>
          <w:szCs w:val="24"/>
        </w:rPr>
        <w:t xml:space="preserve"> rozpočtovému </w:t>
      </w:r>
      <w:r w:rsidR="0040610B" w:rsidRPr="00D758FA">
        <w:rPr>
          <w:rFonts w:ascii="Times New Roman" w:hAnsi="Times New Roman" w:cs="Times New Roman"/>
          <w:sz w:val="24"/>
          <w:szCs w:val="24"/>
        </w:rPr>
        <w:t>roku</w:t>
      </w:r>
      <w:r w:rsidR="006D64F5" w:rsidRPr="00D758FA">
        <w:rPr>
          <w:rFonts w:ascii="Times New Roman" w:hAnsi="Times New Roman" w:cs="Times New Roman"/>
          <w:sz w:val="24"/>
          <w:szCs w:val="24"/>
        </w:rPr>
        <w:t>,</w:t>
      </w:r>
      <w:r w:rsidR="0040610B" w:rsidRPr="00D758FA">
        <w:rPr>
          <w:rFonts w:ascii="Times New Roman" w:hAnsi="Times New Roman" w:cs="Times New Roman"/>
          <w:sz w:val="24"/>
          <w:szCs w:val="24"/>
        </w:rPr>
        <w:t xml:space="preserve"> a to na 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poplatkoch za užívanie verejného priestranstva</w:t>
      </w:r>
      <w:r w:rsidR="00257848">
        <w:rPr>
          <w:rFonts w:ascii="Times New Roman" w:hAnsi="Times New Roman" w:cs="Times New Roman"/>
          <w:sz w:val="24"/>
          <w:szCs w:val="24"/>
        </w:rPr>
        <w:t xml:space="preserve"> o 1 457,02 EUR a daň za</w:t>
      </w:r>
      <w:r w:rsidR="00842837" w:rsidRPr="00D758FA">
        <w:rPr>
          <w:rFonts w:ascii="Times New Roman" w:hAnsi="Times New Roman" w:cs="Times New Roman"/>
          <w:sz w:val="24"/>
          <w:szCs w:val="24"/>
        </w:rPr>
        <w:t xml:space="preserve"> parkovné  </w:t>
      </w:r>
      <w:r w:rsidR="00257848">
        <w:rPr>
          <w:rFonts w:ascii="Times New Roman" w:hAnsi="Times New Roman" w:cs="Times New Roman"/>
          <w:sz w:val="24"/>
          <w:szCs w:val="24"/>
        </w:rPr>
        <w:t xml:space="preserve">bola znížená </w:t>
      </w:r>
      <w:r w:rsidR="00842837" w:rsidRPr="00D758FA">
        <w:rPr>
          <w:rFonts w:ascii="Times New Roman" w:hAnsi="Times New Roman" w:cs="Times New Roman"/>
          <w:sz w:val="24"/>
          <w:szCs w:val="24"/>
        </w:rPr>
        <w:t>o 4 608,05 EUR</w:t>
      </w:r>
      <w:r w:rsidR="006D64F5" w:rsidRPr="00D758FA">
        <w:rPr>
          <w:rFonts w:ascii="Times New Roman" w:hAnsi="Times New Roman" w:cs="Times New Roman"/>
          <w:sz w:val="24"/>
          <w:szCs w:val="24"/>
        </w:rPr>
        <w:t>.</w:t>
      </w:r>
    </w:p>
    <w:p w14:paraId="69B9C02D" w14:textId="77777777" w:rsidR="00257848" w:rsidRPr="00257848" w:rsidRDefault="00257848" w:rsidP="00752011">
      <w:pPr>
        <w:tabs>
          <w:tab w:val="left" w:pos="426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14:paraId="77CF2EF0" w14:textId="13A52482" w:rsidR="00752011" w:rsidRPr="00D758FA" w:rsidRDefault="005D75D1" w:rsidP="00C62B28">
      <w:pPr>
        <w:pStyle w:val="Nadpis2"/>
        <w:rPr>
          <w:rFonts w:cs="Times New Roman"/>
        </w:rPr>
      </w:pPr>
      <w:r w:rsidRPr="00D758FA">
        <w:rPr>
          <w:rFonts w:cs="Times New Roman"/>
        </w:rPr>
        <w:t>B</w:t>
      </w:r>
      <w:r w:rsidR="00752011" w:rsidRPr="00D758FA">
        <w:rPr>
          <w:rFonts w:cs="Times New Roman"/>
        </w:rPr>
        <w:t>ilancia záväzkov</w:t>
      </w:r>
    </w:p>
    <w:p w14:paraId="5CA5521C" w14:textId="77777777" w:rsidR="006D64F5" w:rsidRPr="00D758FA" w:rsidRDefault="006D64F5" w:rsidP="006D64F5">
      <w:pPr>
        <w:pStyle w:val="Nadpis1"/>
        <w:numPr>
          <w:ilvl w:val="0"/>
          <w:numId w:val="0"/>
        </w:numPr>
        <w:spacing w:before="0"/>
        <w:jc w:val="both"/>
        <w:rPr>
          <w:rFonts w:cs="Times New Roman"/>
          <w:b w:val="0"/>
          <w:bCs/>
        </w:rPr>
      </w:pPr>
    </w:p>
    <w:p w14:paraId="0D35E1E9" w14:textId="1F82155D" w:rsidR="006119D0" w:rsidRPr="00D758FA" w:rsidRDefault="006D64F5" w:rsidP="006C5631">
      <w:pPr>
        <w:pStyle w:val="Nadpis1"/>
        <w:numPr>
          <w:ilvl w:val="0"/>
          <w:numId w:val="0"/>
        </w:numPr>
        <w:spacing w:before="0" w:line="240" w:lineRule="auto"/>
        <w:jc w:val="both"/>
        <w:rPr>
          <w:rFonts w:cs="Times New Roman"/>
          <w:b w:val="0"/>
          <w:bCs/>
        </w:rPr>
      </w:pPr>
      <w:r w:rsidRPr="00D758FA">
        <w:rPr>
          <w:rFonts w:cs="Times New Roman"/>
          <w:bCs/>
        </w:rPr>
        <w:t>Z</w:t>
      </w:r>
      <w:r w:rsidR="0096626B" w:rsidRPr="00D758FA">
        <w:rPr>
          <w:rFonts w:cs="Times New Roman"/>
          <w:bCs/>
        </w:rPr>
        <w:t>áväzky</w:t>
      </w:r>
      <w:r w:rsidR="0096626B" w:rsidRPr="00D758FA">
        <w:rPr>
          <w:rFonts w:cs="Times New Roman"/>
          <w:b w:val="0"/>
          <w:bCs/>
        </w:rPr>
        <w:t xml:space="preserve"> mesta Šaľa k 31.12.202</w:t>
      </w:r>
      <w:r w:rsidR="004A357F" w:rsidRPr="00D758FA">
        <w:rPr>
          <w:rFonts w:cs="Times New Roman"/>
          <w:b w:val="0"/>
          <w:bCs/>
        </w:rPr>
        <w:t>2</w:t>
      </w:r>
      <w:r w:rsidR="0096626B" w:rsidRPr="00D758FA">
        <w:rPr>
          <w:rFonts w:cs="Times New Roman"/>
          <w:b w:val="0"/>
          <w:bCs/>
        </w:rPr>
        <w:t xml:space="preserve"> sú evidované v sume </w:t>
      </w:r>
      <w:r w:rsidR="009669BF" w:rsidRPr="00D758FA">
        <w:rPr>
          <w:rFonts w:cs="Times New Roman"/>
          <w:color w:val="000000"/>
        </w:rPr>
        <w:t>1</w:t>
      </w:r>
      <w:r w:rsidR="004A357F" w:rsidRPr="00D758FA">
        <w:rPr>
          <w:rFonts w:cs="Times New Roman"/>
          <w:color w:val="000000"/>
        </w:rPr>
        <w:t xml:space="preserve">8 686 843,30 </w:t>
      </w:r>
      <w:r w:rsidR="0096626B" w:rsidRPr="00D758FA">
        <w:rPr>
          <w:rFonts w:cs="Times New Roman"/>
        </w:rPr>
        <w:t>  EUR</w:t>
      </w:r>
      <w:r w:rsidR="0096626B" w:rsidRPr="00D758FA">
        <w:rPr>
          <w:rFonts w:cs="Times New Roman"/>
          <w:b w:val="0"/>
          <w:bCs/>
        </w:rPr>
        <w:t>, z </w:t>
      </w:r>
      <w:r w:rsidR="00BA5BC9" w:rsidRPr="00D758FA">
        <w:rPr>
          <w:rFonts w:cs="Times New Roman"/>
          <w:b w:val="0"/>
          <w:bCs/>
        </w:rPr>
        <w:t>čoho</w:t>
      </w:r>
      <w:r w:rsidR="0096626B" w:rsidRPr="00D758FA">
        <w:rPr>
          <w:rFonts w:cs="Times New Roman"/>
          <w:b w:val="0"/>
          <w:bCs/>
        </w:rPr>
        <w:t xml:space="preserve"> dlhodobé záväzky</w:t>
      </w:r>
      <w:r w:rsidR="00BA5BC9" w:rsidRPr="00D758FA">
        <w:rPr>
          <w:rFonts w:cs="Times New Roman"/>
          <w:b w:val="0"/>
          <w:bCs/>
        </w:rPr>
        <w:t xml:space="preserve"> spolu s bankovými úvermi </w:t>
      </w:r>
      <w:r w:rsidR="00B43AC0" w:rsidRPr="00D758FA">
        <w:rPr>
          <w:rFonts w:cs="Times New Roman"/>
          <w:b w:val="0"/>
          <w:bCs/>
        </w:rPr>
        <w:t>predstavovali</w:t>
      </w:r>
      <w:r w:rsidR="00BA5BC9" w:rsidRPr="00D758FA">
        <w:rPr>
          <w:rFonts w:cs="Times New Roman"/>
          <w:b w:val="0"/>
          <w:bCs/>
        </w:rPr>
        <w:t xml:space="preserve"> sumu</w:t>
      </w:r>
      <w:r w:rsidR="00B43AC0" w:rsidRPr="00D758FA">
        <w:rPr>
          <w:rFonts w:cs="Times New Roman"/>
          <w:b w:val="0"/>
          <w:bCs/>
        </w:rPr>
        <w:t xml:space="preserve"> </w:t>
      </w:r>
      <w:r w:rsidR="009669BF" w:rsidRPr="00D758FA">
        <w:rPr>
          <w:rFonts w:cs="Times New Roman"/>
          <w:b w:val="0"/>
        </w:rPr>
        <w:t>1</w:t>
      </w:r>
      <w:r w:rsidR="00BA5BC9" w:rsidRPr="00D758FA">
        <w:rPr>
          <w:rFonts w:cs="Times New Roman"/>
          <w:b w:val="0"/>
        </w:rPr>
        <w:t>6</w:t>
      </w:r>
      <w:r w:rsidR="00F439BA" w:rsidRPr="00D758FA">
        <w:rPr>
          <w:rFonts w:cs="Times New Roman"/>
          <w:b w:val="0"/>
        </w:rPr>
        <w:t> 702 614,08</w:t>
      </w:r>
      <w:r w:rsidR="00BA5BC9" w:rsidRPr="00D758FA">
        <w:rPr>
          <w:rFonts w:cs="Times New Roman"/>
          <w:b w:val="0"/>
        </w:rPr>
        <w:t xml:space="preserve">  </w:t>
      </w:r>
      <w:r w:rsidR="0096626B" w:rsidRPr="00D758FA">
        <w:rPr>
          <w:rFonts w:cs="Times New Roman"/>
          <w:b w:val="0"/>
          <w:bCs/>
        </w:rPr>
        <w:t>EUR</w:t>
      </w:r>
      <w:r w:rsidR="00F96A34">
        <w:rPr>
          <w:rFonts w:cs="Times New Roman"/>
          <w:b w:val="0"/>
          <w:bCs/>
        </w:rPr>
        <w:t xml:space="preserve"> a krátkodobé záväzky </w:t>
      </w:r>
      <w:r w:rsidR="006C5631">
        <w:rPr>
          <w:rFonts w:cs="Times New Roman"/>
          <w:b w:val="0"/>
          <w:bCs/>
        </w:rPr>
        <w:t>v sume</w:t>
      </w:r>
      <w:r w:rsidR="00F96A34">
        <w:rPr>
          <w:rFonts w:cs="Times New Roman"/>
          <w:b w:val="0"/>
          <w:bCs/>
        </w:rPr>
        <w:t xml:space="preserve"> </w:t>
      </w:r>
      <w:r w:rsidR="00F439BA" w:rsidRPr="00D758FA">
        <w:rPr>
          <w:rFonts w:cs="Times New Roman"/>
          <w:b w:val="0"/>
          <w:bCs/>
        </w:rPr>
        <w:t>1 984 229,22</w:t>
      </w:r>
      <w:r w:rsidR="0027443F" w:rsidRPr="00D758FA">
        <w:rPr>
          <w:rFonts w:cs="Times New Roman"/>
          <w:b w:val="0"/>
          <w:bCs/>
        </w:rPr>
        <w:t xml:space="preserve"> EUR. N</w:t>
      </w:r>
      <w:r w:rsidR="00A22D05" w:rsidRPr="00D758FA">
        <w:rPr>
          <w:rFonts w:cs="Times New Roman"/>
          <w:b w:val="0"/>
          <w:bCs/>
        </w:rPr>
        <w:t xml:space="preserve">ajväčšiu časť </w:t>
      </w:r>
      <w:r w:rsidR="0027443F" w:rsidRPr="00D758FA">
        <w:rPr>
          <w:rFonts w:cs="Times New Roman"/>
          <w:b w:val="0"/>
          <w:bCs/>
        </w:rPr>
        <w:t xml:space="preserve">z krátkodobých záväzkov </w:t>
      </w:r>
      <w:r w:rsidR="006119D0" w:rsidRPr="00D758FA">
        <w:rPr>
          <w:rFonts w:cs="Times New Roman"/>
          <w:b w:val="0"/>
          <w:bCs/>
        </w:rPr>
        <w:t xml:space="preserve">tvoria </w:t>
      </w:r>
      <w:r w:rsidR="00A22D05" w:rsidRPr="00D758FA">
        <w:rPr>
          <w:rFonts w:cs="Times New Roman"/>
          <w:b w:val="0"/>
          <w:bCs/>
        </w:rPr>
        <w:t>záväzk</w:t>
      </w:r>
      <w:r w:rsidR="006119D0" w:rsidRPr="00D758FA">
        <w:rPr>
          <w:rFonts w:cs="Times New Roman"/>
          <w:b w:val="0"/>
          <w:bCs/>
        </w:rPr>
        <w:t>y z</w:t>
      </w:r>
      <w:r w:rsidR="0027443F" w:rsidRPr="00D758FA">
        <w:rPr>
          <w:rFonts w:cs="Times New Roman"/>
          <w:b w:val="0"/>
          <w:bCs/>
        </w:rPr>
        <w:t> </w:t>
      </w:r>
      <w:r w:rsidR="006119D0" w:rsidRPr="00D758FA">
        <w:rPr>
          <w:rFonts w:cs="Times New Roman"/>
          <w:b w:val="0"/>
          <w:bCs/>
        </w:rPr>
        <w:t>dodávate</w:t>
      </w:r>
      <w:r w:rsidR="0027443F" w:rsidRPr="00D758FA">
        <w:rPr>
          <w:rFonts w:cs="Times New Roman"/>
          <w:b w:val="0"/>
          <w:bCs/>
        </w:rPr>
        <w:t xml:space="preserve">ľských vzťahov </w:t>
      </w:r>
      <w:r w:rsidR="00F96A34">
        <w:rPr>
          <w:rFonts w:cs="Times New Roman"/>
          <w:b w:val="0"/>
          <w:bCs/>
        </w:rPr>
        <w:t>v celkovej v</w:t>
      </w:r>
      <w:r w:rsidR="006119D0" w:rsidRPr="00D758FA">
        <w:rPr>
          <w:rFonts w:cs="Times New Roman"/>
          <w:b w:val="0"/>
          <w:bCs/>
        </w:rPr>
        <w:t xml:space="preserve">ýške </w:t>
      </w:r>
      <w:r w:rsidR="00F439BA" w:rsidRPr="00D758FA">
        <w:rPr>
          <w:rFonts w:cs="Times New Roman"/>
          <w:b w:val="0"/>
          <w:bCs/>
        </w:rPr>
        <w:t>1 024 656,92</w:t>
      </w:r>
      <w:r w:rsidR="006119D0" w:rsidRPr="00D758FA">
        <w:rPr>
          <w:rFonts w:cs="Times New Roman"/>
          <w:b w:val="0"/>
          <w:bCs/>
        </w:rPr>
        <w:t xml:space="preserve"> EUR</w:t>
      </w:r>
      <w:r w:rsidR="0027443F" w:rsidRPr="00D758FA">
        <w:rPr>
          <w:rFonts w:cs="Times New Roman"/>
          <w:b w:val="0"/>
          <w:bCs/>
        </w:rPr>
        <w:t>, čo je o</w:t>
      </w:r>
      <w:r w:rsidR="00F439BA" w:rsidRPr="00D758FA">
        <w:rPr>
          <w:rFonts w:cs="Times New Roman"/>
          <w:b w:val="0"/>
          <w:bCs/>
        </w:rPr>
        <w:t xml:space="preserve"> 125 137,73 </w:t>
      </w:r>
      <w:r w:rsidR="0027443F" w:rsidRPr="00D758FA">
        <w:rPr>
          <w:rFonts w:cs="Times New Roman"/>
          <w:b w:val="0"/>
          <w:bCs/>
        </w:rPr>
        <w:t xml:space="preserve"> EUR viac v porovnaní s predchádzajúcim rozpočtovým rokom.</w:t>
      </w:r>
    </w:p>
    <w:p w14:paraId="17BB95DC" w14:textId="27FD2C9C" w:rsidR="009669BF" w:rsidRPr="006C5631" w:rsidRDefault="00CB73C7" w:rsidP="006C5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 súlade so </w:t>
      </w:r>
      <w:r w:rsidR="00A22D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om </w:t>
      </w:r>
      <w:r w:rsidR="00A22D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č. 583/2004 Z.z. o rozpočtových pravidlách územnej samosprávy je mesto povinné sledovať </w:t>
      </w:r>
      <w:r w:rsidR="00FC56D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vývoj záväzkov po lehote splatnosti a pri presiahnutí  15% skutočných bežných prí</w:t>
      </w:r>
      <w:r w:rsidR="007D329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j</w:t>
      </w:r>
      <w:r w:rsidR="00FC56D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mov predchádzajúceho rozpočtového roka alebo neuhradení niektorého uznaného záväzku do 60 dní odo dňa jeho splatnosti je povinné zaviesť ozdravný režim podľa § 19 </w:t>
      </w:r>
      <w:r w:rsidR="00A22D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cit. zákona. </w:t>
      </w:r>
      <w:r w:rsidR="00787FB9" w:rsidRPr="006C56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 </w:t>
      </w:r>
      <w:r w:rsidR="00A22D05" w:rsidRPr="006C5631">
        <w:rPr>
          <w:rFonts w:ascii="Times New Roman" w:hAnsi="Times New Roman" w:cs="Times New Roman"/>
          <w:bCs/>
          <w:sz w:val="24"/>
          <w:szCs w:val="24"/>
        </w:rPr>
        <w:t>31.12.20</w:t>
      </w:r>
      <w:r w:rsidR="00B16B90" w:rsidRPr="006C5631">
        <w:rPr>
          <w:rFonts w:ascii="Times New Roman" w:hAnsi="Times New Roman" w:cs="Times New Roman"/>
          <w:bCs/>
          <w:sz w:val="24"/>
          <w:szCs w:val="24"/>
        </w:rPr>
        <w:t>22</w:t>
      </w:r>
      <w:r w:rsidR="00A22D05" w:rsidRPr="006C56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7FB9" w:rsidRPr="006C56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mesto Šaľa eviduje </w:t>
      </w:r>
      <w:r w:rsidR="007D4DCE" w:rsidRPr="006C56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dve dobropisové faktúry spolu v sume 3 917,00 EUR </w:t>
      </w:r>
      <w:r w:rsidR="00A22D05" w:rsidRPr="006C56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DCE" w:rsidRPr="006C5631">
        <w:rPr>
          <w:rFonts w:ascii="Times New Roman" w:hAnsi="Times New Roman" w:cs="Times New Roman"/>
          <w:bCs/>
          <w:sz w:val="24"/>
          <w:szCs w:val="24"/>
        </w:rPr>
        <w:t xml:space="preserve"> ako </w:t>
      </w:r>
      <w:r w:rsidR="00A22D05" w:rsidRPr="006C5631">
        <w:rPr>
          <w:rFonts w:ascii="Times New Roman" w:hAnsi="Times New Roman" w:cs="Times New Roman"/>
          <w:bCs/>
          <w:sz w:val="24"/>
          <w:szCs w:val="24"/>
        </w:rPr>
        <w:t>záväzky po lehote splatnosti</w:t>
      </w:r>
      <w:r w:rsidR="007D4DCE" w:rsidRPr="006C5631">
        <w:rPr>
          <w:rFonts w:ascii="Times New Roman" w:hAnsi="Times New Roman" w:cs="Times New Roman"/>
          <w:bCs/>
          <w:sz w:val="24"/>
          <w:szCs w:val="24"/>
        </w:rPr>
        <w:t xml:space="preserve"> a dve </w:t>
      </w:r>
      <w:r w:rsidR="00B527FC" w:rsidRPr="006C5631">
        <w:rPr>
          <w:rFonts w:ascii="Times New Roman" w:hAnsi="Times New Roman" w:cs="Times New Roman"/>
          <w:bCs/>
          <w:sz w:val="24"/>
          <w:szCs w:val="24"/>
        </w:rPr>
        <w:t xml:space="preserve">nedopatrením </w:t>
      </w:r>
      <w:r w:rsidR="007D4DCE" w:rsidRPr="006C5631">
        <w:rPr>
          <w:rFonts w:ascii="Times New Roman" w:hAnsi="Times New Roman" w:cs="Times New Roman"/>
          <w:bCs/>
          <w:sz w:val="24"/>
          <w:szCs w:val="24"/>
        </w:rPr>
        <w:t>neuhradené faktúry spolu v sume 200,00 EUR</w:t>
      </w:r>
      <w:r w:rsidR="006C5631" w:rsidRPr="006C563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847E8E6" w14:textId="77777777" w:rsidR="009669BF" w:rsidRPr="00D758FA" w:rsidRDefault="009669BF" w:rsidP="00752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334C5" w14:textId="77777777" w:rsidR="00B253FE" w:rsidRPr="00D758FA" w:rsidRDefault="00446C9F" w:rsidP="00FC56DD">
      <w:pPr>
        <w:pStyle w:val="Nadpis2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Prehľad o stave a vývoji dlhu</w:t>
      </w:r>
    </w:p>
    <w:p w14:paraId="387C39D1" w14:textId="77777777" w:rsidR="00B277F1" w:rsidRPr="00D758FA" w:rsidRDefault="00B277F1" w:rsidP="00B277F1">
      <w:pPr>
        <w:pStyle w:val="Odsekzoznamu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FFE2A5" w14:textId="53BBBD3D" w:rsidR="00E84372" w:rsidRDefault="00F14DB8" w:rsidP="00CD3A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Podľa zákona č. 583/2004  Z.z. </w:t>
      </w:r>
      <w:r w:rsidRPr="00D758FA">
        <w:rPr>
          <w:rFonts w:ascii="Times New Roman" w:hAnsi="Times New Roman" w:cs="Times New Roman"/>
          <w:sz w:val="24"/>
          <w:szCs w:val="24"/>
        </w:rPr>
        <w:t>o rozpočtových pravidlách územnej samosprávy je povinnosťou hlavného kont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rolóra, okrem preverovania a dodržiavania podmienok pre prijatie </w:t>
      </w:r>
      <w:r w:rsidR="006C5631">
        <w:rPr>
          <w:rFonts w:ascii="Times New Roman" w:hAnsi="Times New Roman" w:cs="Times New Roman"/>
          <w:sz w:val="24"/>
          <w:szCs w:val="24"/>
        </w:rPr>
        <w:t>návratných zdrojov financovania</w:t>
      </w:r>
      <w:r w:rsidR="00953165">
        <w:rPr>
          <w:rFonts w:ascii="Times New Roman" w:hAnsi="Times New Roman" w:cs="Times New Roman"/>
          <w:sz w:val="24"/>
          <w:szCs w:val="24"/>
        </w:rPr>
        <w:t>,</w:t>
      </w:r>
      <w:r w:rsidR="006C5631">
        <w:rPr>
          <w:rFonts w:ascii="Times New Roman" w:hAnsi="Times New Roman" w:cs="Times New Roman"/>
          <w:sz w:val="24"/>
          <w:szCs w:val="24"/>
        </w:rPr>
        <w:t xml:space="preserve"> </w:t>
      </w:r>
      <w:r w:rsidR="00CD3AE6" w:rsidRPr="00953165">
        <w:rPr>
          <w:rFonts w:ascii="Times New Roman" w:hAnsi="Times New Roman" w:cs="Times New Roman"/>
          <w:sz w:val="24"/>
          <w:szCs w:val="24"/>
        </w:rPr>
        <w:t>sledovať</w:t>
      </w:r>
      <w:r w:rsidR="006D64F5" w:rsidRPr="00953165">
        <w:rPr>
          <w:rFonts w:ascii="Times New Roman" w:hAnsi="Times New Roman" w:cs="Times New Roman"/>
          <w:sz w:val="24"/>
          <w:szCs w:val="24"/>
        </w:rPr>
        <w:t xml:space="preserve"> </w:t>
      </w:r>
      <w:r w:rsidR="00CD3AE6" w:rsidRPr="00953165">
        <w:rPr>
          <w:rFonts w:ascii="Times New Roman" w:hAnsi="Times New Roman" w:cs="Times New Roman"/>
          <w:sz w:val="24"/>
          <w:szCs w:val="24"/>
        </w:rPr>
        <w:t>počas</w:t>
      </w:r>
      <w:r w:rsidR="006D64F5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953165">
        <w:rPr>
          <w:rFonts w:ascii="Times New Roman" w:hAnsi="Times New Roman" w:cs="Times New Roman"/>
          <w:sz w:val="24"/>
          <w:szCs w:val="24"/>
        </w:rPr>
        <w:t>rozpočtového roka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 aj stav</w:t>
      </w:r>
      <w:r w:rsidR="006C5631">
        <w:rPr>
          <w:rFonts w:ascii="Times New Roman" w:hAnsi="Times New Roman" w:cs="Times New Roman"/>
          <w:sz w:val="24"/>
          <w:szCs w:val="24"/>
        </w:rPr>
        <w:t xml:space="preserve"> 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a vývoj dlhu mesta. </w:t>
      </w:r>
      <w:r w:rsidRPr="00D758FA">
        <w:rPr>
          <w:rFonts w:ascii="Times New Roman" w:hAnsi="Times New Roman" w:cs="Times New Roman"/>
          <w:sz w:val="24"/>
          <w:szCs w:val="24"/>
        </w:rPr>
        <w:br/>
      </w:r>
      <w:r w:rsidR="00CD3AE6" w:rsidRPr="00D758FA">
        <w:rPr>
          <w:rFonts w:ascii="Times New Roman" w:hAnsi="Times New Roman" w:cs="Times New Roman"/>
          <w:sz w:val="24"/>
          <w:szCs w:val="24"/>
        </w:rPr>
        <w:t>V roku 202</w:t>
      </w:r>
      <w:r w:rsidR="004B12F2" w:rsidRPr="00D758FA">
        <w:rPr>
          <w:rFonts w:ascii="Times New Roman" w:hAnsi="Times New Roman" w:cs="Times New Roman"/>
          <w:sz w:val="24"/>
          <w:szCs w:val="24"/>
        </w:rPr>
        <w:t>2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 bola vykonaná kontrola stavu a vývoja dlhu mesta Šaľa</w:t>
      </w:r>
      <w:r w:rsidR="00E84372">
        <w:rPr>
          <w:rFonts w:ascii="Times New Roman" w:hAnsi="Times New Roman" w:cs="Times New Roman"/>
          <w:sz w:val="24"/>
          <w:szCs w:val="24"/>
        </w:rPr>
        <w:t xml:space="preserve"> k 30.6.2022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, na základe ktorej možno konštatovať, </w:t>
      </w:r>
      <w:r w:rsidR="00E84372" w:rsidRPr="00AB0482">
        <w:rPr>
          <w:rFonts w:ascii="Times New Roman" w:hAnsi="Times New Roman" w:cs="Times New Roman"/>
          <w:sz w:val="24"/>
          <w:szCs w:val="24"/>
        </w:rPr>
        <w:t xml:space="preserve">celkový dlh mesta k 30.6.2022 neprekročil </w:t>
      </w:r>
      <w:r w:rsidR="00E84372">
        <w:rPr>
          <w:rFonts w:ascii="Times New Roman" w:hAnsi="Times New Roman" w:cs="Times New Roman"/>
          <w:sz w:val="24"/>
          <w:szCs w:val="24"/>
        </w:rPr>
        <w:t>v</w:t>
      </w:r>
      <w:r w:rsidR="00953165">
        <w:rPr>
          <w:rFonts w:ascii="Times New Roman" w:hAnsi="Times New Roman" w:cs="Times New Roman"/>
          <w:sz w:val="24"/>
          <w:szCs w:val="24"/>
        </w:rPr>
        <w:t> </w:t>
      </w:r>
      <w:r w:rsidR="00E84372">
        <w:rPr>
          <w:rFonts w:ascii="Times New Roman" w:hAnsi="Times New Roman" w:cs="Times New Roman"/>
          <w:sz w:val="24"/>
          <w:szCs w:val="24"/>
        </w:rPr>
        <w:t>súlade</w:t>
      </w:r>
      <w:r w:rsidR="00953165">
        <w:rPr>
          <w:rFonts w:ascii="Times New Roman" w:hAnsi="Times New Roman" w:cs="Times New Roman"/>
          <w:sz w:val="24"/>
          <w:szCs w:val="24"/>
        </w:rPr>
        <w:t xml:space="preserve"> s</w:t>
      </w:r>
      <w:r w:rsidR="00E84372" w:rsidRPr="00AB0482">
        <w:rPr>
          <w:rFonts w:ascii="Times New Roman" w:hAnsi="Times New Roman" w:cs="Times New Roman"/>
          <w:sz w:val="24"/>
          <w:szCs w:val="24"/>
        </w:rPr>
        <w:t xml:space="preserve"> § 17 ods. 6 písm. a) zákona č. 583/2004 Z.z. o rozpočtových pravidlách územnej samosprávy</w:t>
      </w:r>
      <w:r w:rsidR="00E84372" w:rsidRPr="007C6600">
        <w:rPr>
          <w:rFonts w:ascii="Times New Roman" w:hAnsi="Times New Roman" w:cs="Times New Roman"/>
          <w:sz w:val="24"/>
          <w:szCs w:val="24"/>
        </w:rPr>
        <w:t xml:space="preserve"> </w:t>
      </w:r>
      <w:r w:rsidR="00E84372" w:rsidRPr="00AB0482">
        <w:rPr>
          <w:rFonts w:ascii="Times New Roman" w:hAnsi="Times New Roman" w:cs="Times New Roman"/>
          <w:sz w:val="24"/>
          <w:szCs w:val="24"/>
        </w:rPr>
        <w:t>stanovenú hranicu</w:t>
      </w:r>
      <w:r w:rsidR="00E84372" w:rsidRPr="00C96F4D">
        <w:rPr>
          <w:rFonts w:ascii="Times New Roman" w:hAnsi="Times New Roman" w:cs="Times New Roman"/>
          <w:sz w:val="24"/>
          <w:szCs w:val="24"/>
        </w:rPr>
        <w:t xml:space="preserve"> 60</w:t>
      </w:r>
      <w:r w:rsidR="00E84372">
        <w:rPr>
          <w:rFonts w:ascii="Times New Roman" w:hAnsi="Times New Roman" w:cs="Times New Roman"/>
          <w:sz w:val="24"/>
          <w:szCs w:val="24"/>
        </w:rPr>
        <w:t xml:space="preserve"> </w:t>
      </w:r>
      <w:r w:rsidR="00E84372" w:rsidRPr="00C96F4D">
        <w:rPr>
          <w:rFonts w:ascii="Times New Roman" w:hAnsi="Times New Roman" w:cs="Times New Roman"/>
          <w:sz w:val="24"/>
          <w:szCs w:val="24"/>
        </w:rPr>
        <w:t>% skutočných bežných príjmov predc</w:t>
      </w:r>
      <w:r w:rsidR="00E84372">
        <w:rPr>
          <w:rFonts w:ascii="Times New Roman" w:hAnsi="Times New Roman" w:cs="Times New Roman"/>
          <w:sz w:val="24"/>
          <w:szCs w:val="24"/>
        </w:rPr>
        <w:t>hádzajúceho rozpočtového roka</w:t>
      </w:r>
      <w:r w:rsidR="00E84372" w:rsidRPr="00AB0482">
        <w:rPr>
          <w:rFonts w:ascii="Times New Roman" w:hAnsi="Times New Roman" w:cs="Times New Roman"/>
          <w:sz w:val="24"/>
          <w:szCs w:val="24"/>
        </w:rPr>
        <w:t xml:space="preserve"> </w:t>
      </w:r>
      <w:r w:rsidR="00E84372">
        <w:rPr>
          <w:rFonts w:ascii="Times New Roman" w:hAnsi="Times New Roman" w:cs="Times New Roman"/>
          <w:sz w:val="24"/>
          <w:szCs w:val="24"/>
        </w:rPr>
        <w:t xml:space="preserve">a taktiež 25 % </w:t>
      </w:r>
      <w:r w:rsidR="00E84372">
        <w:rPr>
          <w:rFonts w:ascii="Times New Roman" w:hAnsi="Times New Roman" w:cs="Times New Roman"/>
          <w:sz w:val="24"/>
          <w:szCs w:val="24"/>
        </w:rPr>
        <w:lastRenderedPageBreak/>
        <w:t>hranicu celkovej sumy splátok návratných zdrojov financovania v súlade s § 17 ods. 6 písm. b</w:t>
      </w:r>
      <w:r w:rsidR="00E84372" w:rsidRPr="00AB0482">
        <w:rPr>
          <w:rFonts w:ascii="Times New Roman" w:hAnsi="Times New Roman" w:cs="Times New Roman"/>
          <w:sz w:val="24"/>
          <w:szCs w:val="24"/>
        </w:rPr>
        <w:t>)</w:t>
      </w:r>
      <w:r w:rsidR="00E84372">
        <w:rPr>
          <w:rFonts w:ascii="Times New Roman" w:hAnsi="Times New Roman" w:cs="Times New Roman"/>
          <w:sz w:val="24"/>
          <w:szCs w:val="24"/>
        </w:rPr>
        <w:t xml:space="preserve"> cit. zákona.</w:t>
      </w:r>
    </w:p>
    <w:p w14:paraId="1C8C4F87" w14:textId="46D7F4A7" w:rsidR="00446C9F" w:rsidRDefault="00E84372" w:rsidP="00B55B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V roku 2022 </w:t>
      </w:r>
      <w:r w:rsidR="006D64F5" w:rsidRPr="00D758FA">
        <w:rPr>
          <w:rFonts w:ascii="Times New Roman" w:hAnsi="Times New Roman" w:cs="Times New Roman"/>
          <w:sz w:val="24"/>
          <w:szCs w:val="24"/>
        </w:rPr>
        <w:t xml:space="preserve">celkový dlh mesta 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nemá v porovnaní s predchádzajúcimi rozpočtovými </w:t>
      </w:r>
      <w:r w:rsidR="00953165">
        <w:rPr>
          <w:rFonts w:ascii="Times New Roman" w:hAnsi="Times New Roman" w:cs="Times New Roman"/>
          <w:sz w:val="24"/>
          <w:szCs w:val="24"/>
        </w:rPr>
        <w:t>rokmi stúpajúcu tendenciu a zadĺ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ženosť mesta neprekročila zákonom stanovenú </w:t>
      </w:r>
      <w:r w:rsidR="0069032C" w:rsidRPr="00D758FA">
        <w:rPr>
          <w:rFonts w:ascii="Times New Roman" w:hAnsi="Times New Roman" w:cs="Times New Roman"/>
          <w:sz w:val="24"/>
          <w:szCs w:val="24"/>
        </w:rPr>
        <w:t>výšku.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 31.12.202</w:t>
      </w:r>
      <w:r w:rsidR="00B527F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celková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nesplatená istina z poskytnutých dlhodobých úverov predstavuje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sumu </w:t>
      </w:r>
      <w:r w:rsidR="00F14DB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13</w:t>
      </w:r>
      <w:r w:rsidR="00EA0B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294 689,40</w:t>
      </w:r>
      <w:r w:rsidR="00F14DB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491B3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EUR, </w:t>
      </w:r>
      <w:r w:rsidR="00F14DB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F14DB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čoho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záväzky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 úverov poskytnutých zo ŠFRB sú vo výške </w:t>
      </w:r>
      <w:r w:rsidR="0069032C" w:rsidRPr="00E84372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="00C65EB6" w:rsidRPr="00E84372">
        <w:rPr>
          <w:rFonts w:ascii="Times New Roman" w:eastAsia="Times New Roman" w:hAnsi="Times New Roman" w:cs="Times New Roman"/>
          <w:sz w:val="24"/>
          <w:szCs w:val="24"/>
          <w:lang w:eastAsia="sk-SK"/>
        </w:rPr>
        <w:t> 020 587,44</w:t>
      </w:r>
      <w:r w:rsidR="0069032C" w:rsidRPr="00E8437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dlhodobé bankové úvery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vo výške 6</w:t>
      </w:r>
      <w:r w:rsidR="00C65EB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 274 101,96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  <w:r w:rsidR="00C65EB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Podrobný prehľad </w:t>
      </w:r>
      <w:r w:rsidR="001E2F4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úver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ov je 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edený 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 tabuľkovom prehľade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Tabuľka č. 5 </w:t>
      </w:r>
      <w:r w:rsidR="002977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ávrhu</w:t>
      </w:r>
      <w:r w:rsidR="002977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Z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áverečn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ého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účt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 mesta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Šaľa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rozpočtových org</w:t>
      </w:r>
      <w:r w:rsidR="005C7FA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nizácií a príspevkovej organizácie v zriaďovacej pôsobnosti mesta Šaľa za rok 202</w:t>
      </w:r>
      <w:r w:rsidR="00C65EB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6457B0D0" w14:textId="77777777" w:rsidR="00953165" w:rsidRPr="00E84372" w:rsidRDefault="00953165" w:rsidP="00B55B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79234" w14:textId="5503DE86" w:rsidR="00281524" w:rsidRPr="00D758FA" w:rsidRDefault="00B55B37" w:rsidP="00281524">
      <w:pPr>
        <w:spacing w:after="0" w:line="240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 </w:t>
      </w:r>
      <w:r w:rsidR="00E84372">
        <w:rPr>
          <w:rFonts w:ascii="Times New Roman" w:eastAsia="Arial" w:hAnsi="Times New Roman" w:cs="Times New Roman"/>
          <w:sz w:val="24"/>
          <w:szCs w:val="24"/>
        </w:rPr>
        <w:t xml:space="preserve">nasledovnej tabuľke </w:t>
      </w:r>
      <w:r w:rsidR="00953165">
        <w:rPr>
          <w:rFonts w:ascii="Times New Roman" w:eastAsia="Arial" w:hAnsi="Times New Roman" w:cs="Times New Roman"/>
          <w:sz w:val="24"/>
          <w:szCs w:val="24"/>
        </w:rPr>
        <w:t>je uvedený</w:t>
      </w:r>
      <w:r w:rsidR="00281524" w:rsidRPr="00D758FA">
        <w:rPr>
          <w:rFonts w:ascii="Times New Roman" w:eastAsia="Arial" w:hAnsi="Times New Roman" w:cs="Times New Roman"/>
          <w:sz w:val="24"/>
          <w:szCs w:val="24"/>
        </w:rPr>
        <w:t xml:space="preserve"> prehľad o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 stave a </w:t>
      </w:r>
      <w:r w:rsidR="00281524" w:rsidRPr="00D758FA">
        <w:rPr>
          <w:rFonts w:ascii="Times New Roman" w:eastAsia="Arial" w:hAnsi="Times New Roman" w:cs="Times New Roman"/>
          <w:sz w:val="24"/>
          <w:szCs w:val="24"/>
        </w:rPr>
        <w:t>vývoji dlhu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mesta Šaľa</w:t>
      </w:r>
      <w:r w:rsidR="006D64F5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84372">
        <w:rPr>
          <w:rFonts w:ascii="Times New Roman" w:eastAsia="Arial" w:hAnsi="Times New Roman" w:cs="Times New Roman"/>
          <w:sz w:val="24"/>
          <w:szCs w:val="24"/>
        </w:rPr>
        <w:t xml:space="preserve">od roku 2020 do roku </w:t>
      </w:r>
      <w:r w:rsidR="006D64F5" w:rsidRPr="00D758FA">
        <w:rPr>
          <w:rFonts w:ascii="Times New Roman" w:eastAsia="Arial" w:hAnsi="Times New Roman" w:cs="Times New Roman"/>
          <w:sz w:val="24"/>
          <w:szCs w:val="24"/>
        </w:rPr>
        <w:t>202</w:t>
      </w:r>
      <w:r w:rsidR="003B07B0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6D64F5"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44AFB40F" w14:textId="09BD41B0" w:rsidR="00DF5891" w:rsidRPr="00D758FA" w:rsidRDefault="00EC4802" w:rsidP="00E544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281524" w:rsidRPr="00D75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F5891" w:rsidRPr="00D758FA">
        <w:rPr>
          <w:rFonts w:ascii="Times New Roman" w:hAnsi="Times New Roman" w:cs="Times New Roman"/>
          <w:sz w:val="24"/>
          <w:szCs w:val="24"/>
          <w:vertAlign w:val="subscript"/>
        </w:rPr>
        <w:t>v EUR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8"/>
        <w:gridCol w:w="1476"/>
        <w:gridCol w:w="1476"/>
        <w:gridCol w:w="1476"/>
      </w:tblGrid>
      <w:tr w:rsidR="003B07B0" w:rsidRPr="00D758FA" w14:paraId="0426B83D" w14:textId="2F148135" w:rsidTr="00B4491D">
        <w:trPr>
          <w:trHeight w:val="221"/>
        </w:trPr>
        <w:tc>
          <w:tcPr>
            <w:tcW w:w="4518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765C" w14:textId="77777777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Východiskové hodnoty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14:paraId="4E254F1A" w14:textId="639B7F3B" w:rsidR="003B07B0" w:rsidRPr="00D758FA" w:rsidRDefault="003B07B0" w:rsidP="003B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4E5D7E01" w14:textId="00661FA3" w:rsidR="003B07B0" w:rsidRPr="00D758FA" w:rsidRDefault="003B07B0" w:rsidP="003B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2021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509604A3" w14:textId="6FCF2B0D" w:rsidR="003B07B0" w:rsidRPr="00D758FA" w:rsidRDefault="003B07B0" w:rsidP="003B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2022</w:t>
            </w:r>
          </w:p>
        </w:tc>
      </w:tr>
      <w:tr w:rsidR="003B07B0" w:rsidRPr="00D758FA" w14:paraId="1EBBAF2B" w14:textId="5FEE5FB6" w:rsidTr="00B4491D">
        <w:trPr>
          <w:trHeight w:val="227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B494" w14:textId="77777777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Celková suma dlhu mesta (§17 ods. 7)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3C175" w14:textId="5F6CE4D5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 xml:space="preserve"> 12 658 553,96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D430" w14:textId="68D8511B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13  601 714,25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B8D" w14:textId="42F36910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13 294 689,40</w:t>
            </w:r>
          </w:p>
        </w:tc>
      </w:tr>
      <w:tr w:rsidR="003B07B0" w:rsidRPr="00D758FA" w14:paraId="566A77B3" w14:textId="1CF7FF30" w:rsidTr="00B4491D">
        <w:trPr>
          <w:trHeight w:val="217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CE21" w14:textId="77777777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Nezahrňované položky (§17 ods. 8)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7FDB" w14:textId="77777777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CDA4" w14:textId="77777777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D3BE" w14:textId="48D51EDD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3B07B0" w:rsidRPr="00D758FA" w14:paraId="2B3BDF1F" w14:textId="7CBD47DB" w:rsidTr="00B4491D">
        <w:trPr>
          <w:trHeight w:val="217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0098" w14:textId="77777777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                - úvery zo ŠFRB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10FD2" w14:textId="6F939685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7 426 231,68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940E" w14:textId="4DAC6F0C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7 225 405,49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28EE" w14:textId="2FB07BD8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7 020 587,44</w:t>
            </w:r>
          </w:p>
        </w:tc>
      </w:tr>
      <w:tr w:rsidR="003B07B0" w:rsidRPr="00D758FA" w14:paraId="2D8274E0" w14:textId="6FC2AC3D" w:rsidTr="00B4491D">
        <w:trPr>
          <w:trHeight w:val="217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7BBC" w14:textId="77777777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Dlh mesta po odpočítaní nezahrňovaných položiek v § 17 ods. 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E04E3" w14:textId="0C024FAD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 xml:space="preserve">5 232 322, 28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1A6" w14:textId="6B2CF959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6 057 481,87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5FDB" w14:textId="627724CB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6 274 101,96</w:t>
            </w:r>
          </w:p>
        </w:tc>
      </w:tr>
      <w:tr w:rsidR="003B07B0" w:rsidRPr="00D758FA" w14:paraId="7F33809C" w14:textId="05E31DAD" w:rsidTr="00B4491D">
        <w:trPr>
          <w:trHeight w:val="217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7990" w14:textId="772B1989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Skutočné bežné príjmy rozpočtového roka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15FC" w14:textId="4FB74DEE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19 857 626,24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65" w14:textId="3766AAF1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20 389 361,02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53A1" w14:textId="658208FF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22 156 124,00</w:t>
            </w:r>
          </w:p>
        </w:tc>
      </w:tr>
      <w:tr w:rsidR="003B07B0" w:rsidRPr="00D758FA" w14:paraId="08E4D7EF" w14:textId="20AADD33" w:rsidTr="00B4491D">
        <w:trPr>
          <w:trHeight w:val="227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E61E" w14:textId="77777777" w:rsidR="003B07B0" w:rsidRPr="00D758FA" w:rsidRDefault="003B07B0" w:rsidP="003B0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Ročná splátka  návratných zdrojov financovania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A3BB9B" w14:textId="46357223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312 564,93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FB06" w14:textId="78B8B0B2" w:rsidR="003B07B0" w:rsidRPr="00D758FA" w:rsidRDefault="003B07B0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313 149,25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AD6BA3" w14:textId="0AD58814" w:rsidR="003B07B0" w:rsidRPr="00D758FA" w:rsidRDefault="00C97047" w:rsidP="003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768 751,81</w:t>
            </w:r>
          </w:p>
        </w:tc>
      </w:tr>
    </w:tbl>
    <w:p w14:paraId="4E3CA37F" w14:textId="77777777" w:rsidR="00FA034B" w:rsidRPr="00D758FA" w:rsidRDefault="00FA034B" w:rsidP="00D24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tbl>
      <w:tblPr>
        <w:tblW w:w="49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2"/>
        <w:gridCol w:w="1566"/>
        <w:gridCol w:w="1423"/>
        <w:gridCol w:w="1417"/>
      </w:tblGrid>
      <w:tr w:rsidR="00E84372" w:rsidRPr="00D758FA" w14:paraId="7A2C9E0C" w14:textId="0BA96506" w:rsidTr="00E84372">
        <w:trPr>
          <w:trHeight w:val="117"/>
        </w:trPr>
        <w:tc>
          <w:tcPr>
            <w:tcW w:w="2538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1768" w14:textId="77777777" w:rsidR="00E84372" w:rsidRPr="00D758FA" w:rsidRDefault="00E84372" w:rsidP="00020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Ukazovateľ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14:paraId="62F84825" w14:textId="1FA514FB" w:rsidR="00E84372" w:rsidRPr="00D758FA" w:rsidRDefault="00E84372" w:rsidP="00020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34E52489" w14:textId="3A26ECFD" w:rsidR="00E84372" w:rsidRPr="00D758FA" w:rsidRDefault="00E84372" w:rsidP="00020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2021</w:t>
            </w:r>
          </w:p>
        </w:tc>
        <w:tc>
          <w:tcPr>
            <w:tcW w:w="793" w:type="pc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15E9FC1A" w14:textId="7BEBD7EC" w:rsidR="00E84372" w:rsidRPr="00D758FA" w:rsidRDefault="00E84372" w:rsidP="00020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2022</w:t>
            </w:r>
          </w:p>
        </w:tc>
      </w:tr>
      <w:tr w:rsidR="00E84372" w:rsidRPr="00D758FA" w14:paraId="35F680F7" w14:textId="05ABA8BA" w:rsidTr="00E84372">
        <w:trPr>
          <w:trHeight w:val="117"/>
        </w:trPr>
        <w:tc>
          <w:tcPr>
            <w:tcW w:w="25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2F6B" w14:textId="77777777" w:rsidR="00E84372" w:rsidRPr="00D758FA" w:rsidRDefault="00E84372" w:rsidP="00020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Dlh mesta/bežné príjmy predchádzajúceho roka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FC980" w14:textId="1B22A419" w:rsidR="00E84372" w:rsidRPr="00D758FA" w:rsidRDefault="00E84372" w:rsidP="00020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27,76</w:t>
            </w:r>
          </w:p>
        </w:tc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2C700" w14:textId="025E6D65" w:rsidR="00E84372" w:rsidRPr="00D758FA" w:rsidRDefault="00E84372" w:rsidP="00020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30,50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D2474" w14:textId="0C2930D6" w:rsidR="00E84372" w:rsidRPr="00D758FA" w:rsidRDefault="00E84372" w:rsidP="00020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30,77</w:t>
            </w:r>
          </w:p>
        </w:tc>
      </w:tr>
      <w:tr w:rsidR="00E84372" w:rsidRPr="00D758FA" w14:paraId="7091DED1" w14:textId="03678450" w:rsidTr="00E84372">
        <w:trPr>
          <w:trHeight w:val="117"/>
        </w:trPr>
        <w:tc>
          <w:tcPr>
            <w:tcW w:w="25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619D" w14:textId="77777777" w:rsidR="00E84372" w:rsidRPr="00D758FA" w:rsidRDefault="00E84372" w:rsidP="00020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Ročná splátka dlhu/bežné príjmy predchádzajúceho roka znížené o transfery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198931F0" w14:textId="1AFE0E6E" w:rsidR="00E84372" w:rsidRPr="00D758FA" w:rsidRDefault="00E84372" w:rsidP="00020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2,73</w:t>
            </w:r>
          </w:p>
        </w:tc>
        <w:tc>
          <w:tcPr>
            <w:tcW w:w="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8C8E7" w14:textId="7B977A1A" w:rsidR="00E84372" w:rsidRPr="00D758FA" w:rsidRDefault="00E84372" w:rsidP="00020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2,38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64DBFBD" w14:textId="0F9B8ABD" w:rsidR="00E84372" w:rsidRPr="00D758FA" w:rsidRDefault="00E84372" w:rsidP="00020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5,17</w:t>
            </w:r>
          </w:p>
        </w:tc>
      </w:tr>
    </w:tbl>
    <w:p w14:paraId="271DEA1E" w14:textId="639304BB" w:rsidR="00DF5891" w:rsidRPr="00D758FA" w:rsidRDefault="00DF5891" w:rsidP="00FA034B">
      <w:pPr>
        <w:spacing w:after="0" w:line="240" w:lineRule="auto"/>
        <w:ind w:right="10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16C9B19" w14:textId="13270BBC" w:rsidR="00C867A8" w:rsidRPr="004D1E42" w:rsidRDefault="00350E8F" w:rsidP="00C36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P</w:t>
      </w:r>
      <w:r w:rsidR="00FA034B" w:rsidRPr="00D758FA">
        <w:rPr>
          <w:rFonts w:ascii="Times New Roman" w:hAnsi="Times New Roman" w:cs="Times New Roman"/>
          <w:sz w:val="24"/>
          <w:szCs w:val="24"/>
        </w:rPr>
        <w:t>ri používaní návratných z</w:t>
      </w:r>
      <w:r w:rsidR="003E2304" w:rsidRPr="00D758FA">
        <w:rPr>
          <w:rFonts w:ascii="Times New Roman" w:hAnsi="Times New Roman" w:cs="Times New Roman"/>
          <w:sz w:val="24"/>
          <w:szCs w:val="24"/>
        </w:rPr>
        <w:t>drojov financovania v roku 20</w:t>
      </w:r>
      <w:r w:rsidR="00E23637" w:rsidRPr="00D758FA">
        <w:rPr>
          <w:rFonts w:ascii="Times New Roman" w:hAnsi="Times New Roman" w:cs="Times New Roman"/>
          <w:sz w:val="24"/>
          <w:szCs w:val="24"/>
        </w:rPr>
        <w:t>22</w:t>
      </w:r>
      <w:r w:rsidR="000B7B8B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F6B50" w:rsidRPr="00D758FA">
        <w:rPr>
          <w:rFonts w:ascii="Times New Roman" w:hAnsi="Times New Roman" w:cs="Times New Roman"/>
          <w:sz w:val="24"/>
          <w:szCs w:val="24"/>
        </w:rPr>
        <w:t xml:space="preserve">mesto Šaľa </w:t>
      </w:r>
      <w:r w:rsidR="00FA034B" w:rsidRPr="00D758FA">
        <w:rPr>
          <w:rFonts w:ascii="Times New Roman" w:hAnsi="Times New Roman" w:cs="Times New Roman"/>
          <w:sz w:val="24"/>
          <w:szCs w:val="24"/>
        </w:rPr>
        <w:t>dodržiavalo všetky pravidlá vyplývajúce z § 17 zákona č. 583/2004 Z.z. o rozpočtových pravidlách územnej samosprávy</w:t>
      </w:r>
      <w:r w:rsidR="00906BF9" w:rsidRPr="00D758FA">
        <w:rPr>
          <w:rFonts w:ascii="Times New Roman" w:hAnsi="Times New Roman" w:cs="Times New Roman"/>
          <w:sz w:val="24"/>
          <w:szCs w:val="24"/>
        </w:rPr>
        <w:t>.</w:t>
      </w:r>
      <w:r w:rsidR="007825D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906BF9" w:rsidRPr="00D758FA">
        <w:rPr>
          <w:rFonts w:ascii="Times New Roman" w:hAnsi="Times New Roman" w:cs="Times New Roman"/>
          <w:sz w:val="24"/>
          <w:szCs w:val="24"/>
        </w:rPr>
        <w:t>V súlade s § 17 ods. 9 cit. zákona mesto sledovalo v priebehu rozpočtového roka</w:t>
      </w:r>
      <w:r w:rsidR="004D1E42">
        <w:rPr>
          <w:rFonts w:ascii="Times New Roman" w:hAnsi="Times New Roman" w:cs="Times New Roman"/>
          <w:sz w:val="24"/>
          <w:szCs w:val="24"/>
        </w:rPr>
        <w:t>,</w:t>
      </w:r>
      <w:r w:rsidR="005514EC" w:rsidRPr="00D758FA">
        <w:rPr>
          <w:rFonts w:ascii="Times New Roman" w:hAnsi="Times New Roman" w:cs="Times New Roman"/>
          <w:sz w:val="24"/>
          <w:szCs w:val="24"/>
        </w:rPr>
        <w:t xml:space="preserve"> stav a </w:t>
      </w:r>
      <w:r w:rsidR="00906BF9" w:rsidRPr="00D758FA">
        <w:rPr>
          <w:rFonts w:ascii="Times New Roman" w:hAnsi="Times New Roman" w:cs="Times New Roman"/>
          <w:sz w:val="24"/>
          <w:szCs w:val="24"/>
        </w:rPr>
        <w:t xml:space="preserve"> vývoj dlhu</w:t>
      </w:r>
      <w:r w:rsidR="00A22D05" w:rsidRPr="00D758FA">
        <w:rPr>
          <w:rFonts w:ascii="Times New Roman" w:hAnsi="Times New Roman" w:cs="Times New Roman"/>
          <w:sz w:val="24"/>
          <w:szCs w:val="24"/>
        </w:rPr>
        <w:t xml:space="preserve">, kde </w:t>
      </w:r>
      <w:r w:rsidR="007825D9" w:rsidRPr="00D758FA">
        <w:rPr>
          <w:rFonts w:ascii="Times New Roman" w:hAnsi="Times New Roman" w:cs="Times New Roman"/>
          <w:sz w:val="24"/>
          <w:szCs w:val="24"/>
        </w:rPr>
        <w:t>c</w:t>
      </w:r>
      <w:r w:rsidR="00906BF9" w:rsidRPr="00D758FA">
        <w:rPr>
          <w:rFonts w:ascii="Times New Roman" w:hAnsi="Times New Roman" w:cs="Times New Roman"/>
          <w:sz w:val="24"/>
          <w:szCs w:val="24"/>
        </w:rPr>
        <w:t>elková suma dlhu</w:t>
      </w:r>
      <w:r w:rsidR="005514EC" w:rsidRPr="00D758FA">
        <w:rPr>
          <w:rFonts w:ascii="Times New Roman" w:hAnsi="Times New Roman" w:cs="Times New Roman"/>
          <w:sz w:val="24"/>
          <w:szCs w:val="24"/>
        </w:rPr>
        <w:t xml:space="preserve"> mesta </w:t>
      </w:r>
      <w:r w:rsidR="00906BF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5514EC" w:rsidRPr="00D758FA">
        <w:rPr>
          <w:rFonts w:ascii="Times New Roman" w:hAnsi="Times New Roman" w:cs="Times New Roman"/>
          <w:sz w:val="24"/>
          <w:szCs w:val="24"/>
        </w:rPr>
        <w:t>nepresiahla</w:t>
      </w:r>
      <w:r w:rsidR="004D1E42">
        <w:rPr>
          <w:rFonts w:ascii="Times New Roman" w:hAnsi="Times New Roman" w:cs="Times New Roman"/>
          <w:sz w:val="24"/>
          <w:szCs w:val="24"/>
        </w:rPr>
        <w:t xml:space="preserve"> zákonom stanovenú hranicu</w:t>
      </w:r>
      <w:r w:rsidR="005514EC" w:rsidRPr="00D758FA">
        <w:rPr>
          <w:rFonts w:ascii="Times New Roman" w:hAnsi="Times New Roman" w:cs="Times New Roman"/>
          <w:sz w:val="24"/>
          <w:szCs w:val="24"/>
        </w:rPr>
        <w:t xml:space="preserve"> 60% skutočných bežných príjmov </w:t>
      </w:r>
      <w:r w:rsidR="000B7B8B" w:rsidRPr="00D758FA">
        <w:rPr>
          <w:rFonts w:ascii="Times New Roman" w:hAnsi="Times New Roman" w:cs="Times New Roman"/>
          <w:sz w:val="24"/>
          <w:szCs w:val="24"/>
        </w:rPr>
        <w:t xml:space="preserve">predchádzajúceho </w:t>
      </w:r>
      <w:r w:rsidR="007825D9" w:rsidRPr="00D758FA">
        <w:rPr>
          <w:rFonts w:ascii="Times New Roman" w:hAnsi="Times New Roman" w:cs="Times New Roman"/>
          <w:sz w:val="24"/>
          <w:szCs w:val="24"/>
        </w:rPr>
        <w:t xml:space="preserve">rozpočtového </w:t>
      </w:r>
      <w:r w:rsidR="000B7B8B" w:rsidRPr="00D758FA">
        <w:rPr>
          <w:rFonts w:ascii="Times New Roman" w:hAnsi="Times New Roman" w:cs="Times New Roman"/>
          <w:sz w:val="24"/>
          <w:szCs w:val="24"/>
        </w:rPr>
        <w:t>roka</w:t>
      </w:r>
      <w:r w:rsidR="004D1E42">
        <w:rPr>
          <w:rFonts w:ascii="Times New Roman" w:hAnsi="Times New Roman" w:cs="Times New Roman"/>
          <w:sz w:val="24"/>
          <w:szCs w:val="24"/>
        </w:rPr>
        <w:t xml:space="preserve"> </w:t>
      </w:r>
      <w:r w:rsidR="00906BF9" w:rsidRPr="00D758FA">
        <w:rPr>
          <w:rFonts w:ascii="Times New Roman" w:hAnsi="Times New Roman" w:cs="Times New Roman"/>
          <w:sz w:val="24"/>
          <w:szCs w:val="24"/>
        </w:rPr>
        <w:t>a</w:t>
      </w:r>
      <w:r w:rsidR="004D1E42">
        <w:rPr>
          <w:rFonts w:ascii="Times New Roman" w:hAnsi="Times New Roman" w:cs="Times New Roman"/>
          <w:sz w:val="24"/>
          <w:szCs w:val="24"/>
        </w:rPr>
        <w:t> </w:t>
      </w:r>
      <w:r w:rsidR="00906BF9" w:rsidRPr="00D758FA">
        <w:rPr>
          <w:rFonts w:ascii="Times New Roman" w:hAnsi="Times New Roman" w:cs="Times New Roman"/>
          <w:sz w:val="24"/>
          <w:szCs w:val="24"/>
        </w:rPr>
        <w:t>suma ročných splátok</w:t>
      </w:r>
      <w:r w:rsidR="004D1E42">
        <w:rPr>
          <w:rFonts w:ascii="Times New Roman" w:hAnsi="Times New Roman" w:cs="Times New Roman"/>
          <w:sz w:val="24"/>
          <w:szCs w:val="24"/>
        </w:rPr>
        <w:t xml:space="preserve"> nedosiahla</w:t>
      </w:r>
      <w:r w:rsidR="005514EC" w:rsidRPr="00D758FA">
        <w:rPr>
          <w:rFonts w:ascii="Times New Roman" w:hAnsi="Times New Roman" w:cs="Times New Roman"/>
          <w:sz w:val="24"/>
          <w:szCs w:val="24"/>
        </w:rPr>
        <w:t xml:space="preserve"> 25%  skutočných bežných príjmov predchádzajúceho roka znížených o prostriedky poskytnuté z rozpočtu </w:t>
      </w:r>
      <w:r w:rsidR="004D1E42">
        <w:rPr>
          <w:rFonts w:ascii="Times New Roman" w:hAnsi="Times New Roman" w:cs="Times New Roman"/>
          <w:sz w:val="24"/>
          <w:szCs w:val="24"/>
        </w:rPr>
        <w:t xml:space="preserve">iného subjektu verejnej správy. </w:t>
      </w:r>
      <w:r w:rsidR="00C3612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Mesto</w:t>
      </w:r>
      <w:r w:rsidR="004D1E4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Ša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ľa pravidelne </w:t>
      </w:r>
      <w:r w:rsidR="00C3612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spláca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lo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záväzky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vyplývajúce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C3612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úver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ov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ých 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vzťaho</w:t>
      </w:r>
      <w:r w:rsidR="00CB7EB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z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reštrukturaliz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ovaného úveru </w:t>
      </w:r>
      <w:r w:rsidR="000B7B8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vo výške</w:t>
      </w:r>
      <w:r w:rsidR="005F54C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="00CB7EB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582 567,87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 spl</w:t>
      </w:r>
      <w:r w:rsidR="00CB7EB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atilo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roku 202</w:t>
      </w:r>
      <w:r w:rsidR="00CB7EB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úrok</w:t>
      </w:r>
      <w:r w:rsidR="00CB7EB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y v sume 15 054,98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825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C3612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istinu </w:t>
      </w:r>
      <w:r w:rsidR="004D1E42">
        <w:rPr>
          <w:rFonts w:ascii="Times New Roman" w:eastAsia="Times New Roman" w:hAnsi="Times New Roman" w:cs="Times New Roman"/>
          <w:sz w:val="24"/>
          <w:szCs w:val="24"/>
          <w:lang w:eastAsia="sk-SK"/>
        </w:rPr>
        <w:t>v sume</w:t>
      </w:r>
      <w:r w:rsidR="00CB7EB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447 784,00 EUR. </w:t>
      </w:r>
      <w:r w:rsidR="000742D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5EF3C25B" w14:textId="77777777" w:rsidR="00787FB9" w:rsidRPr="00D758FA" w:rsidRDefault="00787FB9" w:rsidP="00C361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3C3D6A2" w14:textId="77777777" w:rsidR="00E863DC" w:rsidRPr="00D758FA" w:rsidRDefault="00E863DC" w:rsidP="00FC56DD">
      <w:pPr>
        <w:pStyle w:val="Nadpis1"/>
        <w:spacing w:before="0"/>
        <w:rPr>
          <w:rFonts w:cs="Times New Roman"/>
        </w:rPr>
      </w:pPr>
      <w:r w:rsidRPr="00D758FA">
        <w:rPr>
          <w:rFonts w:cs="Times New Roman"/>
        </w:rPr>
        <w:t>Hospodárenie organizácií zriadených mestom</w:t>
      </w:r>
    </w:p>
    <w:p w14:paraId="3B0E080D" w14:textId="77777777" w:rsidR="00E863DC" w:rsidRPr="00D758FA" w:rsidRDefault="00E863DC" w:rsidP="00E863DC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7B6A9" w14:textId="77777777" w:rsidR="00E863DC" w:rsidRPr="00D758FA" w:rsidRDefault="00E863DC" w:rsidP="00C62B28">
      <w:pPr>
        <w:pStyle w:val="Nadpis2"/>
        <w:rPr>
          <w:rFonts w:cs="Times New Roman"/>
        </w:rPr>
      </w:pPr>
      <w:r w:rsidRPr="00D758FA">
        <w:rPr>
          <w:rFonts w:eastAsia="Arial" w:cs="Times New Roman"/>
        </w:rPr>
        <w:t>Rozpočtové  organizácie</w:t>
      </w:r>
    </w:p>
    <w:p w14:paraId="5407465D" w14:textId="77777777" w:rsidR="00E863DC" w:rsidRPr="00D758FA" w:rsidRDefault="00E863DC" w:rsidP="00E863D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DFE1E99" w14:textId="546CC9EC" w:rsidR="00D82A55" w:rsidRDefault="00D82A55" w:rsidP="00D82A55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Mesto Šaľa má 16 rozpočtových organiz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ácii, z toho 6 základných škôl, 6 </w:t>
      </w:r>
      <w:r w:rsidRPr="00D758FA">
        <w:rPr>
          <w:rFonts w:ascii="Times New Roman" w:eastAsia="Arial" w:hAnsi="Times New Roman" w:cs="Times New Roman"/>
          <w:sz w:val="24"/>
          <w:szCs w:val="24"/>
        </w:rPr>
        <w:t>materských škôl, Základnú umeleckú školu, Centrum voľného času,  Mestskú knižnicu J. Johanidesa a Domov dôchodcov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eastAsia="Arial" w:hAnsi="Times New Roman" w:cs="Times New Roman"/>
          <w:sz w:val="24"/>
          <w:szCs w:val="24"/>
        </w:rPr>
        <w:t>Šaľa</w:t>
      </w:r>
      <w:r w:rsidR="009068F9" w:rsidRPr="00D758FA">
        <w:rPr>
          <w:rFonts w:ascii="Times New Roman" w:eastAsia="Arial" w:hAnsi="Times New Roman" w:cs="Times New Roman"/>
          <w:sz w:val="24"/>
          <w:szCs w:val="24"/>
        </w:rPr>
        <w:t>. Hospodáre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 xml:space="preserve">nie rozpočtových organizácií je zhrnuté </w:t>
      </w:r>
      <w:r w:rsidR="009068F9" w:rsidRPr="00D758FA">
        <w:rPr>
          <w:rFonts w:ascii="Times New Roman" w:eastAsia="Arial" w:hAnsi="Times New Roman" w:cs="Times New Roman"/>
          <w:sz w:val="24"/>
          <w:szCs w:val="24"/>
        </w:rPr>
        <w:t xml:space="preserve">v predloženom 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>návrhu záverečného účtu</w:t>
      </w:r>
      <w:r w:rsidR="009068F9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 xml:space="preserve">v programe 9 -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Vzdelávanie s podrobným prehľadom </w:t>
      </w:r>
      <w:r w:rsidR="009068F9" w:rsidRPr="00D758FA">
        <w:rPr>
          <w:rFonts w:ascii="Times New Roman" w:eastAsia="Arial" w:hAnsi="Times New Roman" w:cs="Times New Roman"/>
          <w:sz w:val="24"/>
          <w:szCs w:val="24"/>
        </w:rPr>
        <w:t>plnenia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príjmov a</w:t>
      </w:r>
      <w:r w:rsidR="00787FB9" w:rsidRPr="00D758FA">
        <w:rPr>
          <w:rFonts w:ascii="Times New Roman" w:eastAsia="Arial" w:hAnsi="Times New Roman" w:cs="Times New Roman"/>
          <w:sz w:val="24"/>
          <w:szCs w:val="24"/>
        </w:rPr>
        <w:t> </w:t>
      </w:r>
      <w:r w:rsidRPr="00D758FA">
        <w:rPr>
          <w:rFonts w:ascii="Times New Roman" w:eastAsia="Arial" w:hAnsi="Times New Roman" w:cs="Times New Roman"/>
          <w:sz w:val="24"/>
          <w:szCs w:val="24"/>
        </w:rPr>
        <w:t>výdavkov</w:t>
      </w:r>
      <w:r w:rsidR="00787FB9" w:rsidRPr="00D758F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554FCEE3" w14:textId="77777777" w:rsidR="002C2E0B" w:rsidRDefault="002C2E0B" w:rsidP="00D82A55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6602A36" w14:textId="77777777" w:rsidR="00B4491D" w:rsidRPr="00D758FA" w:rsidRDefault="00B4491D" w:rsidP="00D82A55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0308E82" w14:textId="132D7DBD" w:rsidR="00E863DC" w:rsidRPr="00D758FA" w:rsidRDefault="000B7B8B" w:rsidP="00C62B28">
      <w:pPr>
        <w:pStyle w:val="Nadpis2"/>
        <w:rPr>
          <w:rFonts w:eastAsia="Arial" w:cs="Times New Roman"/>
        </w:rPr>
      </w:pPr>
      <w:r w:rsidRPr="00D758FA">
        <w:rPr>
          <w:rFonts w:eastAsia="Arial" w:cs="Times New Roman"/>
        </w:rPr>
        <w:lastRenderedPageBreak/>
        <w:t>Príspevková o</w:t>
      </w:r>
      <w:r w:rsidR="00E863DC" w:rsidRPr="00D758FA">
        <w:rPr>
          <w:rFonts w:eastAsia="Arial" w:cs="Times New Roman"/>
        </w:rPr>
        <w:t>rg</w:t>
      </w:r>
      <w:r w:rsidRPr="00D758FA">
        <w:rPr>
          <w:rFonts w:eastAsia="Arial" w:cs="Times New Roman"/>
        </w:rPr>
        <w:t>anizácia</w:t>
      </w:r>
      <w:r w:rsidR="00DB7CBB" w:rsidRPr="00D758FA">
        <w:rPr>
          <w:rFonts w:eastAsia="Arial" w:cs="Times New Roman"/>
        </w:rPr>
        <w:t xml:space="preserve"> </w:t>
      </w:r>
    </w:p>
    <w:p w14:paraId="61D7C0F4" w14:textId="77777777" w:rsidR="00E863DC" w:rsidRPr="00D758FA" w:rsidRDefault="00E863DC" w:rsidP="00E863DC">
      <w:pPr>
        <w:tabs>
          <w:tab w:val="left" w:pos="963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89DAD2B" w14:textId="382B283B" w:rsidR="00680574" w:rsidRPr="00D758FA" w:rsidRDefault="00C867A8" w:rsidP="00D8107D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Mesto Šaľa má zriadenú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jednu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príspevkovú organi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záciu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9068F9" w:rsidRPr="00D758FA">
        <w:rPr>
          <w:rFonts w:ascii="Times New Roman" w:eastAsia="Arial" w:hAnsi="Times New Roman" w:cs="Times New Roman"/>
          <w:sz w:val="24"/>
          <w:szCs w:val="24"/>
        </w:rPr>
        <w:t>Organizáciu sociálnej starostlivosti mesta Šaľa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(ďalej len OSS)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,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ktorej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hospodárenie je uvedené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v</w:t>
      </w:r>
      <w:r w:rsidR="004D1E42">
        <w:rPr>
          <w:rFonts w:ascii="Times New Roman" w:eastAsia="Arial" w:hAnsi="Times New Roman" w:cs="Times New Roman"/>
          <w:sz w:val="24"/>
          <w:szCs w:val="24"/>
        </w:rPr>
        <w:t> 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predloženom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>návrhu záverečného účtu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ako</w:t>
      </w:r>
      <w:r w:rsidR="004D1E42">
        <w:rPr>
          <w:rFonts w:ascii="Times New Roman" w:eastAsia="Arial" w:hAnsi="Times New Roman" w:cs="Times New Roman"/>
          <w:bCs/>
          <w:sz w:val="24"/>
          <w:szCs w:val="24"/>
        </w:rPr>
        <w:t xml:space="preserve"> prebytok vo výške </w:t>
      </w:r>
      <w:r w:rsidR="00680574" w:rsidRPr="00D758FA">
        <w:rPr>
          <w:rFonts w:ascii="Times New Roman" w:eastAsia="Arial" w:hAnsi="Times New Roman" w:cs="Times New Roman"/>
          <w:sz w:val="24"/>
          <w:szCs w:val="24"/>
        </w:rPr>
        <w:t>1</w:t>
      </w:r>
      <w:r w:rsidR="00C43544" w:rsidRPr="00D758FA">
        <w:rPr>
          <w:rFonts w:ascii="Times New Roman" w:eastAsia="Arial" w:hAnsi="Times New Roman" w:cs="Times New Roman"/>
          <w:sz w:val="24"/>
          <w:szCs w:val="24"/>
        </w:rPr>
        <w:t>7 010</w:t>
      </w:r>
      <w:r w:rsidR="004731B9" w:rsidRPr="00D758FA">
        <w:rPr>
          <w:rFonts w:ascii="Times New Roman" w:eastAsia="Arial" w:hAnsi="Times New Roman" w:cs="Times New Roman"/>
          <w:sz w:val="24"/>
          <w:szCs w:val="24"/>
        </w:rPr>
        <w:t>,0</w:t>
      </w:r>
      <w:r w:rsidR="001B1597" w:rsidRPr="00D758FA">
        <w:rPr>
          <w:rFonts w:ascii="Times New Roman" w:eastAsia="Arial" w:hAnsi="Times New Roman" w:cs="Times New Roman"/>
          <w:sz w:val="24"/>
          <w:szCs w:val="24"/>
        </w:rPr>
        <w:t>0</w:t>
      </w:r>
      <w:r w:rsidR="00680574" w:rsidRPr="00D758FA">
        <w:rPr>
          <w:rFonts w:ascii="Times New Roman" w:eastAsia="Arial" w:hAnsi="Times New Roman" w:cs="Times New Roman"/>
          <w:sz w:val="24"/>
          <w:szCs w:val="24"/>
        </w:rPr>
        <w:t xml:space="preserve"> EUR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680574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32964" w:rsidRPr="004D1E42">
        <w:rPr>
          <w:rFonts w:ascii="Times New Roman" w:eastAsia="Arial" w:hAnsi="Times New Roman" w:cs="Times New Roman"/>
          <w:b/>
          <w:sz w:val="24"/>
          <w:szCs w:val="24"/>
        </w:rPr>
        <w:t>C</w:t>
      </w:r>
      <w:r w:rsidR="00680574" w:rsidRPr="004D1E42">
        <w:rPr>
          <w:rFonts w:ascii="Times New Roman" w:eastAsia="Arial" w:hAnsi="Times New Roman" w:cs="Times New Roman"/>
          <w:b/>
          <w:sz w:val="24"/>
          <w:szCs w:val="24"/>
        </w:rPr>
        <w:t>elkov</w:t>
      </w:r>
      <w:r w:rsidR="00B32964" w:rsidRPr="004D1E42">
        <w:rPr>
          <w:rFonts w:ascii="Times New Roman" w:eastAsia="Arial" w:hAnsi="Times New Roman" w:cs="Times New Roman"/>
          <w:b/>
          <w:sz w:val="24"/>
          <w:szCs w:val="24"/>
        </w:rPr>
        <w:t>é</w:t>
      </w:r>
      <w:r w:rsidR="00680574" w:rsidRPr="004D1E42">
        <w:rPr>
          <w:rFonts w:ascii="Times New Roman" w:eastAsia="Arial" w:hAnsi="Times New Roman" w:cs="Times New Roman"/>
          <w:b/>
          <w:sz w:val="24"/>
          <w:szCs w:val="24"/>
        </w:rPr>
        <w:t xml:space="preserve"> výnos</w:t>
      </w:r>
      <w:r w:rsidR="00B32964" w:rsidRPr="004D1E42">
        <w:rPr>
          <w:rFonts w:ascii="Times New Roman" w:eastAsia="Arial" w:hAnsi="Times New Roman" w:cs="Times New Roman"/>
          <w:b/>
          <w:sz w:val="24"/>
          <w:szCs w:val="24"/>
        </w:rPr>
        <w:t>y</w:t>
      </w:r>
      <w:r w:rsidR="004D1E42" w:rsidRP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D1E42">
        <w:rPr>
          <w:rFonts w:ascii="Times New Roman" w:eastAsia="Arial" w:hAnsi="Times New Roman" w:cs="Times New Roman"/>
          <w:sz w:val="24"/>
          <w:szCs w:val="24"/>
        </w:rPr>
        <w:t>OSS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02D83" w:rsidRPr="00D758FA">
        <w:rPr>
          <w:rFonts w:ascii="Times New Roman" w:eastAsia="Arial" w:hAnsi="Times New Roman" w:cs="Times New Roman"/>
          <w:sz w:val="24"/>
          <w:szCs w:val="24"/>
        </w:rPr>
        <w:t xml:space="preserve">predstavovali 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 xml:space="preserve">sumu </w:t>
      </w:r>
      <w:r w:rsidR="00680574" w:rsidRPr="004D1E42">
        <w:rPr>
          <w:rFonts w:ascii="Times New Roman" w:eastAsia="Arial" w:hAnsi="Times New Roman" w:cs="Times New Roman"/>
          <w:b/>
          <w:sz w:val="24"/>
          <w:szCs w:val="24"/>
        </w:rPr>
        <w:t>1</w:t>
      </w:r>
      <w:r w:rsidR="00C43544" w:rsidRPr="004D1E42">
        <w:rPr>
          <w:rFonts w:ascii="Times New Roman" w:eastAsia="Arial" w:hAnsi="Times New Roman" w:cs="Times New Roman"/>
          <w:b/>
          <w:sz w:val="24"/>
          <w:szCs w:val="24"/>
        </w:rPr>
        <w:t> 474 775,00</w:t>
      </w:r>
      <w:r w:rsidR="00680574" w:rsidRPr="004D1E42">
        <w:rPr>
          <w:rFonts w:ascii="Times New Roman" w:eastAsia="Arial" w:hAnsi="Times New Roman" w:cs="Times New Roman"/>
          <w:b/>
          <w:sz w:val="24"/>
          <w:szCs w:val="24"/>
        </w:rPr>
        <w:t xml:space="preserve"> EU</w:t>
      </w:r>
      <w:r w:rsidR="005D172F" w:rsidRPr="004D1E42">
        <w:rPr>
          <w:rFonts w:ascii="Times New Roman" w:eastAsia="Arial" w:hAnsi="Times New Roman" w:cs="Times New Roman"/>
          <w:b/>
          <w:sz w:val="24"/>
          <w:szCs w:val="24"/>
        </w:rPr>
        <w:t>R</w:t>
      </w:r>
      <w:r w:rsidR="005D172F" w:rsidRPr="00D758FA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902D83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z toho 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>príspevok mesta bol vo výške 6</w:t>
      </w:r>
      <w:r w:rsidR="00E154AE" w:rsidRPr="00D758FA">
        <w:rPr>
          <w:rFonts w:ascii="Times New Roman" w:eastAsia="Arial" w:hAnsi="Times New Roman" w:cs="Times New Roman"/>
          <w:sz w:val="24"/>
          <w:szCs w:val="24"/>
        </w:rPr>
        <w:t>09 800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 xml:space="preserve">,00 EUR, čo 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je </w:t>
      </w:r>
      <w:r w:rsidR="00E154AE" w:rsidRPr="00D758FA">
        <w:rPr>
          <w:rFonts w:ascii="Times New Roman" w:eastAsia="Arial" w:hAnsi="Times New Roman" w:cs="Times New Roman"/>
          <w:sz w:val="24"/>
          <w:szCs w:val="24"/>
        </w:rPr>
        <w:t xml:space="preserve">oproti 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 xml:space="preserve"> predchádzajúc</w:t>
      </w:r>
      <w:r w:rsidR="00E154AE" w:rsidRPr="00D758FA">
        <w:rPr>
          <w:rFonts w:ascii="Times New Roman" w:eastAsia="Arial" w:hAnsi="Times New Roman" w:cs="Times New Roman"/>
          <w:sz w:val="24"/>
          <w:szCs w:val="24"/>
        </w:rPr>
        <w:t xml:space="preserve">emu 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>rozpočto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>v</w:t>
      </w:r>
      <w:r w:rsidR="00E154AE" w:rsidRPr="00D758FA">
        <w:rPr>
          <w:rFonts w:ascii="Times New Roman" w:eastAsia="Arial" w:hAnsi="Times New Roman" w:cs="Times New Roman"/>
          <w:sz w:val="24"/>
          <w:szCs w:val="24"/>
        </w:rPr>
        <w:t>ému</w:t>
      </w:r>
      <w:r w:rsidR="00B32964" w:rsidRPr="00D758FA">
        <w:rPr>
          <w:rFonts w:ascii="Times New Roman" w:eastAsia="Arial" w:hAnsi="Times New Roman" w:cs="Times New Roman"/>
          <w:sz w:val="24"/>
          <w:szCs w:val="24"/>
        </w:rPr>
        <w:t xml:space="preserve"> roku</w:t>
      </w:r>
      <w:r w:rsidR="00E154AE" w:rsidRPr="00D758FA">
        <w:rPr>
          <w:rFonts w:ascii="Times New Roman" w:eastAsia="Arial" w:hAnsi="Times New Roman" w:cs="Times New Roman"/>
          <w:sz w:val="24"/>
          <w:szCs w:val="24"/>
        </w:rPr>
        <w:t xml:space="preserve">   pokles o 6,66% </w:t>
      </w:r>
      <w:r w:rsidR="005D172F" w:rsidRPr="00D758FA">
        <w:rPr>
          <w:rFonts w:ascii="Times New Roman" w:eastAsia="Arial" w:hAnsi="Times New Roman" w:cs="Times New Roman"/>
          <w:sz w:val="24"/>
          <w:szCs w:val="24"/>
        </w:rPr>
        <w:t xml:space="preserve"> a vo finančnom vyjadrení to predstavuje o </w:t>
      </w:r>
      <w:r w:rsidR="004D1E42">
        <w:rPr>
          <w:rFonts w:ascii="Times New Roman" w:eastAsia="Arial" w:hAnsi="Times New Roman" w:cs="Times New Roman"/>
          <w:sz w:val="24"/>
          <w:szCs w:val="24"/>
        </w:rPr>
        <w:t>sumu</w:t>
      </w:r>
      <w:r w:rsidR="005D172F" w:rsidRPr="00D758FA">
        <w:rPr>
          <w:rFonts w:ascii="Times New Roman" w:eastAsia="Arial" w:hAnsi="Times New Roman" w:cs="Times New Roman"/>
          <w:sz w:val="24"/>
          <w:szCs w:val="24"/>
        </w:rPr>
        <w:t xml:space="preserve"> 43 500,00 EUR. D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otácia z MPSVaR SR 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 xml:space="preserve">bola 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vo výške </w:t>
      </w:r>
      <w:r w:rsidR="005D172F" w:rsidRPr="00D758FA">
        <w:rPr>
          <w:rFonts w:ascii="Times New Roman" w:eastAsia="Arial" w:hAnsi="Times New Roman" w:cs="Times New Roman"/>
          <w:sz w:val="24"/>
          <w:szCs w:val="24"/>
        </w:rPr>
        <w:t>315 655,00 EUR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>,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3758D" w:rsidRPr="004D1E42">
        <w:rPr>
          <w:rFonts w:ascii="Times New Roman" w:eastAsia="Arial" w:hAnsi="Times New Roman" w:cs="Times New Roman"/>
          <w:sz w:val="24"/>
          <w:szCs w:val="24"/>
        </w:rPr>
        <w:t xml:space="preserve">transfer zo ŠR  bol </w:t>
      </w:r>
      <w:r w:rsidR="00B62C05" w:rsidRPr="004D1E42">
        <w:rPr>
          <w:rFonts w:ascii="Times New Roman" w:eastAsia="Arial" w:hAnsi="Times New Roman" w:cs="Times New Roman"/>
          <w:sz w:val="24"/>
          <w:szCs w:val="24"/>
        </w:rPr>
        <w:t xml:space="preserve">322 823,60 </w:t>
      </w:r>
      <w:r w:rsidR="00C3758D" w:rsidRPr="004D1E42">
        <w:rPr>
          <w:rFonts w:ascii="Times New Roman" w:eastAsia="Arial" w:hAnsi="Times New Roman" w:cs="Times New Roman"/>
          <w:sz w:val="24"/>
          <w:szCs w:val="24"/>
        </w:rPr>
        <w:t xml:space="preserve">EUR 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>a transfer od ostatných subjektov</w:t>
      </w:r>
      <w:r w:rsidR="000B7B8B" w:rsidRPr="00D758FA">
        <w:rPr>
          <w:rFonts w:ascii="Times New Roman" w:eastAsia="Arial" w:hAnsi="Times New Roman" w:cs="Times New Roman"/>
          <w:sz w:val="24"/>
          <w:szCs w:val="24"/>
        </w:rPr>
        <w:t xml:space="preserve"> mimo verejnej správy 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bol 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vo výške </w:t>
      </w:r>
      <w:r w:rsidR="00B62C05" w:rsidRPr="00D758FA">
        <w:rPr>
          <w:rFonts w:ascii="Times New Roman" w:eastAsia="Arial" w:hAnsi="Times New Roman" w:cs="Times New Roman"/>
          <w:sz w:val="24"/>
          <w:szCs w:val="24"/>
        </w:rPr>
        <w:t>1 526,41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 EUR</w:t>
      </w:r>
      <w:r w:rsidR="00787FB9" w:rsidRPr="00D758FA">
        <w:rPr>
          <w:rFonts w:ascii="Times New Roman" w:eastAsia="Arial" w:hAnsi="Times New Roman" w:cs="Times New Roman"/>
          <w:sz w:val="24"/>
          <w:szCs w:val="24"/>
        </w:rPr>
        <w:t>. T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ržby z predaja služieb a ostatné výnosy 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>predstavovali sumu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 24</w:t>
      </w:r>
      <w:r w:rsidR="00B62C05" w:rsidRPr="00D758FA">
        <w:rPr>
          <w:rFonts w:ascii="Times New Roman" w:eastAsia="Arial" w:hAnsi="Times New Roman" w:cs="Times New Roman"/>
          <w:sz w:val="24"/>
          <w:szCs w:val="24"/>
        </w:rPr>
        <w:t>2 631,72</w:t>
      </w:r>
      <w:r w:rsidR="00681E50" w:rsidRPr="00D758FA">
        <w:rPr>
          <w:rFonts w:ascii="Times New Roman" w:eastAsia="Arial" w:hAnsi="Times New Roman" w:cs="Times New Roman"/>
          <w:sz w:val="24"/>
          <w:szCs w:val="24"/>
        </w:rPr>
        <w:t xml:space="preserve"> EUR</w:t>
      </w:r>
      <w:r w:rsidR="00902D83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3758D" w:rsidRPr="004D1E42">
        <w:rPr>
          <w:rFonts w:ascii="Times New Roman" w:eastAsia="Arial" w:hAnsi="Times New Roman" w:cs="Times New Roman"/>
          <w:b/>
          <w:sz w:val="24"/>
          <w:szCs w:val="24"/>
        </w:rPr>
        <w:t>Celkové n</w:t>
      </w:r>
      <w:r w:rsidR="00902D83" w:rsidRPr="004D1E42">
        <w:rPr>
          <w:rFonts w:ascii="Times New Roman" w:eastAsia="Arial" w:hAnsi="Times New Roman" w:cs="Times New Roman"/>
          <w:b/>
          <w:sz w:val="24"/>
          <w:szCs w:val="24"/>
        </w:rPr>
        <w:t>áklady</w:t>
      </w:r>
      <w:r w:rsidR="00902D83" w:rsidRPr="004D1E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02D83" w:rsidRPr="00D758FA">
        <w:rPr>
          <w:rFonts w:ascii="Times New Roman" w:eastAsia="Arial" w:hAnsi="Times New Roman" w:cs="Times New Roman"/>
          <w:sz w:val="24"/>
          <w:szCs w:val="24"/>
        </w:rPr>
        <w:t xml:space="preserve">vynaložené na chod </w:t>
      </w:r>
      <w:r w:rsidR="004D1E42">
        <w:rPr>
          <w:rFonts w:ascii="Times New Roman" w:eastAsia="Arial" w:hAnsi="Times New Roman" w:cs="Times New Roman"/>
          <w:sz w:val="24"/>
          <w:szCs w:val="24"/>
        </w:rPr>
        <w:t>OSS</w:t>
      </w:r>
      <w:r w:rsidR="00E5105A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02D83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 xml:space="preserve">boli vo výške </w:t>
      </w:r>
      <w:r w:rsidR="00BD3651" w:rsidRPr="004D1E42">
        <w:rPr>
          <w:rFonts w:ascii="Times New Roman" w:eastAsia="Arial" w:hAnsi="Times New Roman" w:cs="Times New Roman"/>
          <w:b/>
          <w:sz w:val="24"/>
          <w:szCs w:val="24"/>
        </w:rPr>
        <w:t>1</w:t>
      </w:r>
      <w:r w:rsidR="00B62C05" w:rsidRPr="004D1E42">
        <w:rPr>
          <w:rFonts w:ascii="Times New Roman" w:eastAsia="Arial" w:hAnsi="Times New Roman" w:cs="Times New Roman"/>
          <w:b/>
          <w:sz w:val="24"/>
          <w:szCs w:val="24"/>
        </w:rPr>
        <w:t> 457 765,51</w:t>
      </w:r>
      <w:r w:rsidR="00680574" w:rsidRPr="004D1E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BD3651" w:rsidRPr="004D1E42">
        <w:rPr>
          <w:rFonts w:ascii="Times New Roman" w:eastAsia="Arial" w:hAnsi="Times New Roman" w:cs="Times New Roman"/>
          <w:b/>
          <w:sz w:val="24"/>
          <w:szCs w:val="24"/>
        </w:rPr>
        <w:t>EUR</w:t>
      </w:r>
      <w:r w:rsidR="00680574" w:rsidRPr="00D758FA">
        <w:rPr>
          <w:rFonts w:ascii="Times New Roman" w:eastAsia="Arial" w:hAnsi="Times New Roman" w:cs="Times New Roman"/>
          <w:sz w:val="24"/>
          <w:szCs w:val="24"/>
        </w:rPr>
        <w:t>,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 xml:space="preserve"> z čoho najväčšiu časť tvorili osobné náklady vo výške 1</w:t>
      </w:r>
      <w:r w:rsidR="00B62C05" w:rsidRPr="00D758FA">
        <w:rPr>
          <w:rFonts w:ascii="Times New Roman" w:eastAsia="Arial" w:hAnsi="Times New Roman" w:cs="Times New Roman"/>
          <w:sz w:val="24"/>
          <w:szCs w:val="24"/>
        </w:rPr>
        <w:t> 289 793,45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 xml:space="preserve"> EUR.</w:t>
      </w:r>
    </w:p>
    <w:p w14:paraId="3A75BAD2" w14:textId="77777777" w:rsidR="00680574" w:rsidRPr="00D758FA" w:rsidRDefault="00680574" w:rsidP="00D8107D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9CF7CF3" w14:textId="77777777" w:rsidR="00446C9F" w:rsidRPr="00D758FA" w:rsidRDefault="00446C9F" w:rsidP="00174E3E">
      <w:pPr>
        <w:pStyle w:val="Nadpis1"/>
        <w:spacing w:before="0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Podnikateľská činnosť</w:t>
      </w:r>
    </w:p>
    <w:p w14:paraId="47F9440E" w14:textId="77777777" w:rsidR="00C02702" w:rsidRPr="00D758FA" w:rsidRDefault="00C02702" w:rsidP="00C02702">
      <w:pPr>
        <w:pStyle w:val="Odsekzoznamu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6E01E76E" w14:textId="5ECB57A9" w:rsidR="00BD3651" w:rsidRPr="00D758FA" w:rsidRDefault="003E0557" w:rsidP="00174E3E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Návrh záverečného účtu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eastAsia="Arial" w:hAnsi="Times New Roman" w:cs="Times New Roman"/>
          <w:sz w:val="24"/>
          <w:szCs w:val="24"/>
        </w:rPr>
        <w:t>neobsahuje údaje o nákladoch a výnosoch podnikateľskej činnosti,</w:t>
      </w:r>
      <w:r w:rsidR="0007431C" w:rsidRPr="00D758FA">
        <w:rPr>
          <w:rFonts w:ascii="Times New Roman" w:eastAsia="Arial" w:hAnsi="Times New Roman" w:cs="Times New Roman"/>
          <w:sz w:val="24"/>
          <w:szCs w:val="24"/>
        </w:rPr>
        <w:t xml:space="preserve"> nakoľko mesto Šaľa v roku </w:t>
      </w:r>
      <w:r w:rsidR="0025192D" w:rsidRPr="00D758FA">
        <w:rPr>
          <w:rFonts w:ascii="Times New Roman" w:eastAsia="Arial" w:hAnsi="Times New Roman" w:cs="Times New Roman"/>
          <w:sz w:val="24"/>
          <w:szCs w:val="24"/>
        </w:rPr>
        <w:t>20</w:t>
      </w:r>
      <w:r w:rsidR="00BD3651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9F2063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nevy</w:t>
      </w:r>
      <w:r w:rsidR="0007431C" w:rsidRPr="00D758FA">
        <w:rPr>
          <w:rFonts w:ascii="Times New Roman" w:eastAsia="Arial" w:hAnsi="Times New Roman" w:cs="Times New Roman"/>
          <w:sz w:val="24"/>
          <w:szCs w:val="24"/>
        </w:rPr>
        <w:t xml:space="preserve">konávalo </w:t>
      </w:r>
      <w:r w:rsidR="00BD3651" w:rsidRPr="00D758FA">
        <w:rPr>
          <w:rFonts w:ascii="Times New Roman" w:eastAsia="Arial" w:hAnsi="Times New Roman" w:cs="Times New Roman"/>
          <w:sz w:val="24"/>
          <w:szCs w:val="24"/>
        </w:rPr>
        <w:t xml:space="preserve"> žiadnu </w:t>
      </w:r>
      <w:r w:rsidR="0007431C" w:rsidRPr="00D758FA">
        <w:rPr>
          <w:rFonts w:ascii="Times New Roman" w:eastAsia="Arial" w:hAnsi="Times New Roman" w:cs="Times New Roman"/>
          <w:sz w:val="24"/>
          <w:szCs w:val="24"/>
        </w:rPr>
        <w:t>podnikateľskú činnosť</w:t>
      </w:r>
      <w:r w:rsidR="00BD3651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E5105A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AD40208" w14:textId="77777777" w:rsidR="00174E3E" w:rsidRPr="00D758FA" w:rsidRDefault="00174E3E" w:rsidP="00174E3E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25ECB8A" w14:textId="77777777" w:rsidR="00446C9F" w:rsidRPr="00D758FA" w:rsidRDefault="00446C9F" w:rsidP="00174E3E">
      <w:pPr>
        <w:pStyle w:val="Nadpis1"/>
        <w:spacing w:before="0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Hodnotenie programov rozpočtu</w:t>
      </w:r>
    </w:p>
    <w:p w14:paraId="15BA3198" w14:textId="77777777" w:rsidR="009D4999" w:rsidRPr="00D758FA" w:rsidRDefault="009D4999" w:rsidP="009D4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5408B48" w14:textId="40E77A34" w:rsidR="00B87D8F" w:rsidRPr="00D758FA" w:rsidRDefault="00BD3651" w:rsidP="0057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Návrh záverečného účtu je rozdelený na príjmovú a výdavkovú časť rozpočtu. </w:t>
      </w:r>
      <w:r w:rsidR="0007431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Výdavk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ová časť </w:t>
      </w:r>
      <w:r w:rsidR="0007431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rozpočtu 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je</w:t>
      </w:r>
      <w:r w:rsidR="000B7B8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07431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rozdelen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á</w:t>
      </w:r>
      <w:r w:rsidR="0007431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do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jednotlivých</w:t>
      </w:r>
      <w:r w:rsidR="0007431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</w:t>
      </w:r>
      <w:r w:rsidR="00447D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rog</w:t>
      </w:r>
      <w:r w:rsidR="00447D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softHyphen/>
        <w:t>ramov,</w:t>
      </w:r>
      <w:r w:rsidR="000B7B8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7D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ktoré</w:t>
      </w:r>
      <w:r w:rsidR="005715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7D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sa</w:t>
      </w:r>
      <w:r w:rsidR="009D499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7D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členi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 </w:t>
      </w:r>
      <w:r w:rsidR="0007431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 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podprogramy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 prvky. Z predloženého návrhu záverečného účtu za rok 202</w:t>
      </w:r>
      <w:r w:rsidR="009F206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možno konštatovať, že je spracovaný v súlade </w:t>
      </w:r>
      <w:r w:rsidR="00C3758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 platnou 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legislatívou a kladne možno hodnotiť, že jednotlivé programy obsahujú aj faktory</w:t>
      </w:r>
      <w:r w:rsidR="00EB284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 skutočnosti, ktoré ovplyvnili tvorbu a če</w:t>
      </w:r>
      <w:r w:rsidR="00B4491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rpanie verejných prostriedkov, s</w:t>
      </w:r>
      <w:r w:rsidR="00B87D8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ktorými mesto a jej subjekty disponovali v príslušnom rozpočtovom roku.</w:t>
      </w:r>
    </w:p>
    <w:p w14:paraId="5213CC33" w14:textId="77777777" w:rsidR="00174E3E" w:rsidRPr="00D758FA" w:rsidRDefault="00174E3E" w:rsidP="0057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5C8D9173" w14:textId="3BA6FCCF" w:rsidR="00446C9F" w:rsidRPr="00D758FA" w:rsidRDefault="00446C9F" w:rsidP="0057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 Á V E R</w:t>
      </w:r>
    </w:p>
    <w:p w14:paraId="3E11C936" w14:textId="77777777" w:rsidR="000A1825" w:rsidRPr="00D758FA" w:rsidRDefault="000A1825" w:rsidP="0057159E">
      <w:pPr>
        <w:spacing w:after="0" w:line="240" w:lineRule="auto"/>
        <w:ind w:right="10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EF68FC2" w14:textId="77777777" w:rsidR="00B4491D" w:rsidRDefault="00D7211A" w:rsidP="00B4491D">
      <w:pPr>
        <w:spacing w:after="0" w:line="240" w:lineRule="auto"/>
        <w:jc w:val="both"/>
        <w:rPr>
          <w:rFonts w:ascii="Times New Roman" w:hAnsi="Times New Roman" w:cs="Times New Roman"/>
          <w:bCs/>
          <w:color w:val="00B050"/>
          <w:sz w:val="24"/>
          <w:szCs w:val="24"/>
        </w:rPr>
      </w:pPr>
      <w:r w:rsidRPr="00D758FA">
        <w:rPr>
          <w:rFonts w:ascii="Times New Roman" w:hAnsi="Times New Roman" w:cs="Times New Roman"/>
          <w:bCs/>
          <w:sz w:val="24"/>
          <w:szCs w:val="24"/>
        </w:rPr>
        <w:t xml:space="preserve">Záverom možno konštatovať, že  </w:t>
      </w:r>
      <w:r w:rsidRPr="00D758FA">
        <w:rPr>
          <w:rFonts w:ascii="Times New Roman" w:eastAsia="Arial" w:hAnsi="Times New Roman" w:cs="Times New Roman"/>
          <w:sz w:val="24"/>
          <w:szCs w:val="24"/>
        </w:rPr>
        <w:t>n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 xml:space="preserve">ávrh </w:t>
      </w:r>
      <w:r w:rsidRPr="00D758FA">
        <w:rPr>
          <w:rFonts w:ascii="Times New Roman" w:hAnsi="Times New Roman" w:cs="Times New Roman"/>
          <w:sz w:val="24"/>
          <w:szCs w:val="24"/>
        </w:rPr>
        <w:t xml:space="preserve">Záverečného účtu mesta Šaľa, rozpočtových organizácií a príspevkovej organizácie </w:t>
      </w:r>
      <w:r w:rsidR="0057159E" w:rsidRPr="00D758FA">
        <w:rPr>
          <w:rFonts w:ascii="Times New Roman" w:hAnsi="Times New Roman" w:cs="Times New Roman"/>
          <w:sz w:val="24"/>
          <w:szCs w:val="24"/>
        </w:rPr>
        <w:t>v</w:t>
      </w:r>
      <w:r w:rsidRPr="00D758FA">
        <w:rPr>
          <w:rFonts w:ascii="Times New Roman" w:hAnsi="Times New Roman" w:cs="Times New Roman"/>
          <w:sz w:val="24"/>
          <w:szCs w:val="24"/>
        </w:rPr>
        <w:t> zriaďovateľskej pôsobnosti mesta Šaľa za rok 202</w:t>
      </w:r>
      <w:r w:rsidR="009F2063" w:rsidRPr="00D758FA">
        <w:rPr>
          <w:rFonts w:ascii="Times New Roman" w:hAnsi="Times New Roman" w:cs="Times New Roman"/>
          <w:sz w:val="24"/>
          <w:szCs w:val="24"/>
        </w:rPr>
        <w:t>2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21B38" w:rsidRPr="00D758FA">
        <w:rPr>
          <w:rFonts w:ascii="Times New Roman" w:eastAsia="Arial" w:hAnsi="Times New Roman" w:cs="Times New Roman"/>
          <w:sz w:val="24"/>
          <w:szCs w:val="24"/>
        </w:rPr>
        <w:t xml:space="preserve"> je spracovaný </w:t>
      </w:r>
      <w:r w:rsidR="00A324F5" w:rsidRPr="00D758FA">
        <w:rPr>
          <w:rFonts w:ascii="Times New Roman" w:eastAsia="Arial" w:hAnsi="Times New Roman" w:cs="Times New Roman"/>
          <w:sz w:val="24"/>
          <w:szCs w:val="24"/>
        </w:rPr>
        <w:t>v súlad</w:t>
      </w:r>
      <w:r w:rsidR="00E647BD" w:rsidRPr="00D758FA">
        <w:rPr>
          <w:rFonts w:ascii="Times New Roman" w:eastAsia="Arial" w:hAnsi="Times New Roman" w:cs="Times New Roman"/>
          <w:sz w:val="24"/>
          <w:szCs w:val="24"/>
        </w:rPr>
        <w:t xml:space="preserve">e s príslušnými ustanoveniami § 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 xml:space="preserve">16 zákona </w:t>
      </w:r>
      <w:r w:rsidR="00BE509C" w:rsidRPr="00D758FA">
        <w:rPr>
          <w:rFonts w:ascii="Times New Roman" w:eastAsia="Arial" w:hAnsi="Times New Roman" w:cs="Times New Roman"/>
          <w:sz w:val="24"/>
          <w:szCs w:val="24"/>
        </w:rPr>
        <w:t xml:space="preserve"> č. 583/2004 Z.z. 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 xml:space="preserve">o rozpočtových pravidlách územnej samosprávy </w:t>
      </w:r>
      <w:r w:rsidR="004E3A2F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>a</w:t>
      </w:r>
      <w:r w:rsidR="00A324F5" w:rsidRPr="00D758FA">
        <w:rPr>
          <w:rFonts w:ascii="Times New Roman" w:eastAsia="Arial" w:hAnsi="Times New Roman" w:cs="Times New Roman"/>
          <w:sz w:val="24"/>
          <w:szCs w:val="24"/>
        </w:rPr>
        <w:t> obsahuje všetky predpísané náležitosti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2744290C" w14:textId="53F5F98A" w:rsidR="000A1825" w:rsidRPr="00D758FA" w:rsidRDefault="00D7211A" w:rsidP="00B4491D">
      <w:pPr>
        <w:spacing w:after="0" w:line="240" w:lineRule="auto"/>
        <w:jc w:val="both"/>
        <w:rPr>
          <w:rFonts w:ascii="Times New Roman" w:hAnsi="Times New Roman" w:cs="Times New Roman"/>
          <w:bCs/>
          <w:color w:val="00B050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N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>ávrh záverečn</w:t>
      </w:r>
      <w:r w:rsidR="00193A54" w:rsidRPr="00D758FA">
        <w:rPr>
          <w:rFonts w:ascii="Times New Roman" w:eastAsia="Arial" w:hAnsi="Times New Roman" w:cs="Times New Roman"/>
          <w:sz w:val="24"/>
          <w:szCs w:val="24"/>
        </w:rPr>
        <w:t>ého účtu</w:t>
      </w:r>
      <w:r w:rsidR="00103064" w:rsidRPr="00D758FA">
        <w:rPr>
          <w:rFonts w:ascii="Times New Roman" w:eastAsia="Arial" w:hAnsi="Times New Roman" w:cs="Times New Roman"/>
          <w:sz w:val="24"/>
          <w:szCs w:val="24"/>
        </w:rPr>
        <w:t xml:space="preserve"> za rok 20</w:t>
      </w:r>
      <w:r w:rsidR="00FC56DD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9F2063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FC56DD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>bol</w:t>
      </w:r>
      <w:r w:rsidR="00103064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B284C" w:rsidRPr="00D758FA">
        <w:rPr>
          <w:rFonts w:ascii="Times New Roman" w:eastAsia="Arial" w:hAnsi="Times New Roman" w:cs="Times New Roman"/>
          <w:sz w:val="24"/>
          <w:szCs w:val="24"/>
        </w:rPr>
        <w:t xml:space="preserve">na úradnej tabuli a webovom sídle mesta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 xml:space="preserve">zverejnený  dňa </w:t>
      </w:r>
      <w:r w:rsidR="002A186D" w:rsidRPr="0029777A">
        <w:rPr>
          <w:rFonts w:ascii="Times New Roman" w:eastAsia="Arial" w:hAnsi="Times New Roman" w:cs="Times New Roman"/>
          <w:sz w:val="24"/>
          <w:szCs w:val="24"/>
        </w:rPr>
        <w:t>14</w:t>
      </w:r>
      <w:r w:rsidR="00C3758D" w:rsidRPr="0029777A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9F2063" w:rsidRPr="0029777A">
        <w:rPr>
          <w:rFonts w:ascii="Times New Roman" w:eastAsia="Arial" w:hAnsi="Times New Roman" w:cs="Times New Roman"/>
          <w:sz w:val="24"/>
          <w:szCs w:val="24"/>
        </w:rPr>
        <w:t xml:space="preserve">júna </w:t>
      </w:r>
      <w:r w:rsidR="00C3758D" w:rsidRPr="0029777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29777A">
        <w:rPr>
          <w:rFonts w:ascii="Times New Roman" w:eastAsia="Arial" w:hAnsi="Times New Roman" w:cs="Times New Roman"/>
          <w:sz w:val="24"/>
          <w:szCs w:val="24"/>
        </w:rPr>
        <w:t>202</w:t>
      </w:r>
      <w:r w:rsidR="009F2063" w:rsidRPr="0029777A">
        <w:rPr>
          <w:rFonts w:ascii="Times New Roman" w:eastAsia="Arial" w:hAnsi="Times New Roman" w:cs="Times New Roman"/>
          <w:sz w:val="24"/>
          <w:szCs w:val="24"/>
        </w:rPr>
        <w:t>3</w:t>
      </w:r>
      <w:r w:rsidR="0057159E" w:rsidRPr="0029777A">
        <w:rPr>
          <w:rFonts w:ascii="Times New Roman" w:eastAsia="Arial" w:hAnsi="Times New Roman" w:cs="Times New Roman"/>
          <w:sz w:val="24"/>
          <w:szCs w:val="24"/>
        </w:rPr>
        <w:t>,</w:t>
      </w:r>
      <w:r w:rsidR="00EB284C" w:rsidRPr="0029777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B284C" w:rsidRPr="00D758FA">
        <w:rPr>
          <w:rFonts w:ascii="Times New Roman" w:eastAsia="Arial" w:hAnsi="Times New Roman" w:cs="Times New Roman"/>
          <w:sz w:val="24"/>
          <w:szCs w:val="24"/>
        </w:rPr>
        <w:t xml:space="preserve">t.j. v zákonom stanovenej lehote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v súlade s</w:t>
      </w:r>
      <w:r w:rsidR="00103064" w:rsidRPr="00D758FA">
        <w:rPr>
          <w:rFonts w:ascii="Times New Roman" w:eastAsia="Arial" w:hAnsi="Times New Roman" w:cs="Times New Roman"/>
          <w:sz w:val="24"/>
          <w:szCs w:val="24"/>
        </w:rPr>
        <w:t xml:space="preserve"> § 9 </w:t>
      </w:r>
      <w:r w:rsidR="00E647BD" w:rsidRPr="00D758FA">
        <w:rPr>
          <w:rFonts w:ascii="Times New Roman" w:eastAsia="Arial" w:hAnsi="Times New Roman" w:cs="Times New Roman"/>
          <w:sz w:val="24"/>
          <w:szCs w:val="24"/>
        </w:rPr>
        <w:t xml:space="preserve">ods. 2 zákona č. 369/1990 Zb. </w:t>
      </w:r>
      <w:r w:rsidR="00103064" w:rsidRPr="00D758FA">
        <w:rPr>
          <w:rFonts w:ascii="Times New Roman" w:eastAsia="Arial" w:hAnsi="Times New Roman" w:cs="Times New Roman"/>
          <w:sz w:val="24"/>
          <w:szCs w:val="24"/>
        </w:rPr>
        <w:t xml:space="preserve">o obecnom zriadení v z.n.p. </w:t>
      </w:r>
      <w:r w:rsidR="00EB284C" w:rsidRPr="00D758FA">
        <w:rPr>
          <w:rFonts w:ascii="Times New Roman" w:eastAsia="Arial" w:hAnsi="Times New Roman" w:cs="Times New Roman"/>
          <w:sz w:val="24"/>
          <w:szCs w:val="24"/>
        </w:rPr>
        <w:t>v nadväznosti na</w:t>
      </w:r>
      <w:r w:rsidR="00E647BD" w:rsidRPr="00D758FA">
        <w:rPr>
          <w:rFonts w:ascii="Times New Roman" w:eastAsia="Arial" w:hAnsi="Times New Roman" w:cs="Times New Roman"/>
          <w:sz w:val="24"/>
          <w:szCs w:val="24"/>
        </w:rPr>
        <w:t xml:space="preserve"> § </w:t>
      </w:r>
      <w:r w:rsidR="00D26F2A" w:rsidRPr="00D758FA">
        <w:rPr>
          <w:rFonts w:ascii="Times New Roman" w:eastAsia="Arial" w:hAnsi="Times New Roman" w:cs="Times New Roman"/>
          <w:sz w:val="24"/>
          <w:szCs w:val="24"/>
        </w:rPr>
        <w:t xml:space="preserve">16 ods. 9 zákona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č. 583/2004 Z.z. </w:t>
      </w:r>
      <w:r w:rsidR="00D26F2A" w:rsidRPr="00D758FA">
        <w:rPr>
          <w:rFonts w:ascii="Times New Roman" w:eastAsia="Arial" w:hAnsi="Times New Roman" w:cs="Times New Roman"/>
          <w:sz w:val="24"/>
          <w:szCs w:val="24"/>
        </w:rPr>
        <w:t>o ro</w:t>
      </w:r>
      <w:r w:rsidR="00327B49" w:rsidRPr="00D758FA">
        <w:rPr>
          <w:rFonts w:ascii="Times New Roman" w:eastAsia="Arial" w:hAnsi="Times New Roman" w:cs="Times New Roman"/>
          <w:sz w:val="24"/>
          <w:szCs w:val="24"/>
        </w:rPr>
        <w:t>z</w:t>
      </w:r>
      <w:r w:rsidR="00D26F2A" w:rsidRPr="00D758FA">
        <w:rPr>
          <w:rFonts w:ascii="Times New Roman" w:eastAsia="Arial" w:hAnsi="Times New Roman" w:cs="Times New Roman"/>
          <w:sz w:val="24"/>
          <w:szCs w:val="24"/>
        </w:rPr>
        <w:t xml:space="preserve">počtových pravidlách </w:t>
      </w:r>
      <w:r w:rsidR="00327B49" w:rsidRPr="00D758FA">
        <w:rPr>
          <w:rFonts w:ascii="Times New Roman" w:eastAsia="Arial" w:hAnsi="Times New Roman" w:cs="Times New Roman"/>
          <w:sz w:val="24"/>
          <w:szCs w:val="24"/>
        </w:rPr>
        <w:t xml:space="preserve"> územnej samosprávy</w:t>
      </w:r>
      <w:r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327B49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1BC9B245" w14:textId="0B47F8AE" w:rsidR="00BB39D6" w:rsidRPr="00D758FA" w:rsidRDefault="00D7211A" w:rsidP="00B4491D">
      <w:pPr>
        <w:tabs>
          <w:tab w:val="left" w:pos="36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 súlade s § 9 ods. 4 zákona č. 369/1990 Zb. o obecnom zriadení v nadväznosti na </w:t>
      </w:r>
      <w:r w:rsidR="00BB39D6"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 xml:space="preserve"> č.</w:t>
      </w:r>
      <w:r w:rsidR="00BB39D6" w:rsidRPr="00D758FA">
        <w:rPr>
          <w:rFonts w:ascii="Times New Roman" w:eastAsia="Arial" w:hAnsi="Times New Roman" w:cs="Times New Roman"/>
          <w:sz w:val="24"/>
          <w:szCs w:val="24"/>
        </w:rPr>
        <w:t>431/2002 Z.z, o</w:t>
      </w:r>
      <w:r w:rsidR="00EB284C" w:rsidRPr="00D758FA">
        <w:rPr>
          <w:rFonts w:ascii="Times New Roman" w:eastAsia="Arial" w:hAnsi="Times New Roman" w:cs="Times New Roman"/>
          <w:sz w:val="24"/>
          <w:szCs w:val="24"/>
        </w:rPr>
        <w:t> </w:t>
      </w:r>
      <w:r w:rsidR="00BB39D6" w:rsidRPr="00D758FA">
        <w:rPr>
          <w:rFonts w:ascii="Times New Roman" w:eastAsia="Arial" w:hAnsi="Times New Roman" w:cs="Times New Roman"/>
          <w:sz w:val="24"/>
          <w:szCs w:val="24"/>
        </w:rPr>
        <w:t>účtovníct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ve</w:t>
      </w:r>
      <w:r w:rsidR="00EB284C" w:rsidRPr="00D758FA">
        <w:rPr>
          <w:rFonts w:ascii="Times New Roman" w:eastAsia="Arial" w:hAnsi="Times New Roman" w:cs="Times New Roman"/>
          <w:sz w:val="24"/>
          <w:szCs w:val="24"/>
        </w:rPr>
        <w:t xml:space="preserve"> bola ročná účtovná závierka </w:t>
      </w:r>
      <w:r w:rsidR="00BB39D6" w:rsidRPr="00D758FA">
        <w:rPr>
          <w:rFonts w:ascii="Times New Roman" w:eastAsia="Arial" w:hAnsi="Times New Roman" w:cs="Times New Roman"/>
          <w:sz w:val="24"/>
          <w:szCs w:val="24"/>
        </w:rPr>
        <w:t xml:space="preserve">a hospodárenie mesta Šaľa </w:t>
      </w:r>
      <w:r w:rsidR="0057159E" w:rsidRPr="00D758FA">
        <w:rPr>
          <w:rFonts w:ascii="Times New Roman" w:eastAsia="Arial" w:hAnsi="Times New Roman" w:cs="Times New Roman"/>
          <w:sz w:val="24"/>
          <w:szCs w:val="24"/>
        </w:rPr>
        <w:t>k 31.12.202</w:t>
      </w:r>
      <w:r w:rsidR="00A3093B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BB39D6" w:rsidRPr="00D758FA">
        <w:rPr>
          <w:rFonts w:ascii="Times New Roman" w:eastAsia="Arial" w:hAnsi="Times New Roman" w:cs="Times New Roman"/>
          <w:sz w:val="24"/>
          <w:szCs w:val="24"/>
        </w:rPr>
        <w:t xml:space="preserve"> overená audítorkou.</w:t>
      </w:r>
    </w:p>
    <w:p w14:paraId="39F2271D" w14:textId="77777777" w:rsidR="00BB39D6" w:rsidRDefault="00BB39D6" w:rsidP="00193A54">
      <w:pPr>
        <w:tabs>
          <w:tab w:val="left" w:pos="36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FE21E1F" w14:textId="34AFA834" w:rsidR="000A1825" w:rsidRPr="00B4491D" w:rsidRDefault="00BB39D6" w:rsidP="00B4491D">
      <w:pPr>
        <w:tabs>
          <w:tab w:val="left" w:pos="36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V súlade s</w:t>
      </w:r>
      <w:r w:rsidR="007B3850" w:rsidRPr="00D758FA">
        <w:rPr>
          <w:rFonts w:ascii="Times New Roman" w:eastAsia="Arial" w:hAnsi="Times New Roman" w:cs="Times New Roman"/>
          <w:sz w:val="24"/>
          <w:szCs w:val="24"/>
        </w:rPr>
        <w:t xml:space="preserve"> § 16 ods. 10 písm. a) 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 xml:space="preserve"> zákona č. 583/2004 Z.z. o rozpočtových pravidlách územnej samosprávy a o zmene a doplnení niektorých zákonov</w:t>
      </w:r>
      <w:r w:rsidRPr="00D758FA">
        <w:rPr>
          <w:rFonts w:ascii="Times New Roman" w:eastAsia="Arial" w:hAnsi="Times New Roman" w:cs="Times New Roman"/>
          <w:sz w:val="24"/>
          <w:szCs w:val="24"/>
        </w:rPr>
        <w:t>,</w:t>
      </w:r>
      <w:r w:rsidR="00B4491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A1825" w:rsidRPr="00D758FA">
        <w:rPr>
          <w:rFonts w:ascii="Times New Roman" w:eastAsia="Arial" w:hAnsi="Times New Roman" w:cs="Times New Roman"/>
          <w:b/>
          <w:sz w:val="24"/>
          <w:szCs w:val="24"/>
        </w:rPr>
        <w:t>o d p o r ú č a</w:t>
      </w:r>
      <w:r w:rsidR="00B4491D">
        <w:rPr>
          <w:rFonts w:ascii="Times New Roman" w:eastAsia="Arial" w:hAnsi="Times New Roman" w:cs="Times New Roman"/>
          <w:b/>
          <w:sz w:val="24"/>
          <w:szCs w:val="24"/>
        </w:rPr>
        <w:t> </w:t>
      </w:r>
      <w:r w:rsidR="000A1825" w:rsidRPr="00D758FA">
        <w:rPr>
          <w:rFonts w:ascii="Times New Roman" w:eastAsia="Arial" w:hAnsi="Times New Roman" w:cs="Times New Roman"/>
          <w:b/>
          <w:sz w:val="24"/>
          <w:szCs w:val="24"/>
        </w:rPr>
        <w:t>m</w:t>
      </w:r>
      <w:r w:rsidR="00B4491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>Mestskému zastupiteľstv</w:t>
      </w:r>
      <w:r w:rsidR="003772DE" w:rsidRPr="00D758FA">
        <w:rPr>
          <w:rFonts w:ascii="Times New Roman" w:eastAsia="Arial" w:hAnsi="Times New Roman" w:cs="Times New Roman"/>
          <w:sz w:val="24"/>
          <w:szCs w:val="24"/>
        </w:rPr>
        <w:t>u v Šali uzavrieť prerokovanie Z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>áverečného účtu mesta Šaľa, rozpočtových organizácií a príspevkovej organizácie v zriaďovateľskej p</w:t>
      </w:r>
      <w:r w:rsidR="00772605" w:rsidRPr="00D758FA">
        <w:rPr>
          <w:rFonts w:ascii="Times New Roman" w:eastAsia="Arial" w:hAnsi="Times New Roman" w:cs="Times New Roman"/>
          <w:sz w:val="24"/>
          <w:szCs w:val="24"/>
        </w:rPr>
        <w:t>ôsobnosti mesta Šaľa za rok 202</w:t>
      </w:r>
      <w:r w:rsidR="00A3093B" w:rsidRPr="00D758FA">
        <w:rPr>
          <w:rFonts w:ascii="Times New Roman" w:eastAsia="Arial" w:hAnsi="Times New Roman" w:cs="Times New Roman"/>
          <w:sz w:val="24"/>
          <w:szCs w:val="24"/>
        </w:rPr>
        <w:t>2</w:t>
      </w:r>
      <w:r w:rsidR="000A1825" w:rsidRPr="00D758FA">
        <w:rPr>
          <w:rFonts w:ascii="Times New Roman" w:eastAsia="Arial" w:hAnsi="Times New Roman" w:cs="Times New Roman"/>
          <w:sz w:val="24"/>
          <w:szCs w:val="24"/>
        </w:rPr>
        <w:t xml:space="preserve"> výrokom</w:t>
      </w:r>
      <w:r w:rsidRPr="00D758FA">
        <w:rPr>
          <w:rFonts w:ascii="Times New Roman" w:eastAsia="Arial" w:hAnsi="Times New Roman" w:cs="Times New Roman"/>
          <w:sz w:val="24"/>
          <w:szCs w:val="24"/>
        </w:rPr>
        <w:t>,</w:t>
      </w:r>
      <w:r w:rsidR="00B4491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A1825" w:rsidRPr="00D758FA">
        <w:rPr>
          <w:rFonts w:ascii="Times New Roman" w:eastAsia="Arial" w:hAnsi="Times New Roman" w:cs="Times New Roman"/>
          <w:b/>
          <w:sz w:val="24"/>
          <w:szCs w:val="24"/>
        </w:rPr>
        <w:t xml:space="preserve">celoročné hospodárenie </w:t>
      </w:r>
      <w:r w:rsidR="002E05FE" w:rsidRPr="00D758FA">
        <w:rPr>
          <w:rFonts w:ascii="Times New Roman" w:eastAsia="Arial" w:hAnsi="Times New Roman" w:cs="Times New Roman"/>
          <w:b/>
          <w:sz w:val="24"/>
          <w:szCs w:val="24"/>
        </w:rPr>
        <w:t xml:space="preserve">schváliť </w:t>
      </w:r>
      <w:r w:rsidR="000A1825" w:rsidRPr="00D758FA">
        <w:rPr>
          <w:rFonts w:ascii="Times New Roman" w:eastAsia="Arial" w:hAnsi="Times New Roman" w:cs="Times New Roman"/>
          <w:b/>
          <w:sz w:val="24"/>
          <w:szCs w:val="24"/>
        </w:rPr>
        <w:t>bez výhrad.</w:t>
      </w:r>
    </w:p>
    <w:p w14:paraId="332CA434" w14:textId="77777777" w:rsidR="00B4491D" w:rsidRDefault="00B4491D" w:rsidP="0057159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AF85C25" w14:textId="6111C30F" w:rsidR="000A1825" w:rsidRPr="00D758FA" w:rsidRDefault="00772605" w:rsidP="0057159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 Šali dňa </w:t>
      </w:r>
      <w:r w:rsidR="0029777A">
        <w:rPr>
          <w:rFonts w:ascii="Times New Roman" w:eastAsia="Arial" w:hAnsi="Times New Roman" w:cs="Times New Roman"/>
          <w:sz w:val="24"/>
          <w:szCs w:val="24"/>
        </w:rPr>
        <w:t>20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A3093B" w:rsidRPr="00D758FA">
        <w:rPr>
          <w:rFonts w:ascii="Times New Roman" w:eastAsia="Arial" w:hAnsi="Times New Roman" w:cs="Times New Roman"/>
          <w:sz w:val="24"/>
          <w:szCs w:val="24"/>
        </w:rPr>
        <w:t>júna</w:t>
      </w:r>
      <w:r w:rsidR="00C3758D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eastAsia="Arial" w:hAnsi="Times New Roman" w:cs="Times New Roman"/>
          <w:sz w:val="24"/>
          <w:szCs w:val="24"/>
        </w:rPr>
        <w:t>202</w:t>
      </w:r>
      <w:r w:rsidR="00A3093B" w:rsidRPr="00D758FA">
        <w:rPr>
          <w:rFonts w:ascii="Times New Roman" w:eastAsia="Arial" w:hAnsi="Times New Roman" w:cs="Times New Roman"/>
          <w:sz w:val="24"/>
          <w:szCs w:val="24"/>
        </w:rPr>
        <w:t>3</w:t>
      </w:r>
    </w:p>
    <w:p w14:paraId="47B7903C" w14:textId="736016DD" w:rsidR="0057159E" w:rsidRPr="00D758FA" w:rsidRDefault="0057159E" w:rsidP="0057159E">
      <w:pPr>
        <w:spacing w:after="0" w:line="240" w:lineRule="auto"/>
        <w:ind w:left="5120" w:firstLine="54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Ing. Martina Bartošovičová</w:t>
      </w:r>
      <w:r w:rsidR="0029777A">
        <w:rPr>
          <w:rFonts w:ascii="Times New Roman" w:eastAsia="Arial" w:hAnsi="Times New Roman" w:cs="Times New Roman"/>
          <w:sz w:val="24"/>
          <w:szCs w:val="24"/>
        </w:rPr>
        <w:t xml:space="preserve"> v.r.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EA627F5" w14:textId="51D4B0A0" w:rsidR="00097864" w:rsidRPr="00F9287E" w:rsidRDefault="0057159E" w:rsidP="00B4491D">
      <w:pPr>
        <w:tabs>
          <w:tab w:val="left" w:pos="963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</w:r>
      <w:r w:rsidRPr="00D758FA">
        <w:rPr>
          <w:rFonts w:ascii="Times New Roman" w:eastAsia="Arial" w:hAnsi="Times New Roman" w:cs="Times New Roman"/>
          <w:sz w:val="24"/>
          <w:szCs w:val="24"/>
        </w:rPr>
        <w:tab/>
        <w:t xml:space="preserve">  </w:t>
      </w:r>
      <w:r w:rsidR="0029777A">
        <w:rPr>
          <w:rFonts w:ascii="Times New Roman" w:eastAsia="Arial" w:hAnsi="Times New Roman" w:cs="Times New Roman"/>
          <w:sz w:val="24"/>
          <w:szCs w:val="24"/>
        </w:rPr>
        <w:t xml:space="preserve">   </w:t>
      </w:r>
      <w:r w:rsidRPr="00D758FA">
        <w:rPr>
          <w:rFonts w:ascii="Times New Roman" w:eastAsia="Arial" w:hAnsi="Times New Roman" w:cs="Times New Roman"/>
          <w:sz w:val="24"/>
          <w:szCs w:val="24"/>
        </w:rPr>
        <w:t>hlavná kontrolórka mesta</w:t>
      </w:r>
      <w:bookmarkStart w:id="2" w:name="_GoBack"/>
      <w:bookmarkEnd w:id="2"/>
    </w:p>
    <w:sectPr w:rsidR="00097864" w:rsidRPr="00F9287E" w:rsidSect="00BD102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B3F9E" w14:textId="77777777" w:rsidR="00F7374D" w:rsidRDefault="00F7374D">
      <w:pPr>
        <w:spacing w:after="0" w:line="240" w:lineRule="auto"/>
      </w:pPr>
      <w:r>
        <w:separator/>
      </w:r>
    </w:p>
  </w:endnote>
  <w:endnote w:type="continuationSeparator" w:id="0">
    <w:p w14:paraId="4735F53F" w14:textId="77777777" w:rsidR="00F7374D" w:rsidRDefault="00F7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24395"/>
      <w:docPartObj>
        <w:docPartGallery w:val="Page Numbers (Bottom of Page)"/>
        <w:docPartUnique/>
      </w:docPartObj>
    </w:sdtPr>
    <w:sdtEndPr/>
    <w:sdtContent>
      <w:p w14:paraId="0CA6FE87" w14:textId="77777777" w:rsidR="00A21FA2" w:rsidRDefault="00A21FA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91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D7F2BC0" w14:textId="77777777" w:rsidR="00A21FA2" w:rsidRDefault="00A21FA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F2DBF" w14:textId="77777777" w:rsidR="00F7374D" w:rsidRDefault="00F7374D">
      <w:pPr>
        <w:spacing w:after="0" w:line="240" w:lineRule="auto"/>
      </w:pPr>
      <w:r>
        <w:separator/>
      </w:r>
    </w:p>
  </w:footnote>
  <w:footnote w:type="continuationSeparator" w:id="0">
    <w:p w14:paraId="4D743CB5" w14:textId="77777777" w:rsidR="00F7374D" w:rsidRDefault="00F73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4BC7"/>
    <w:multiLevelType w:val="hybridMultilevel"/>
    <w:tmpl w:val="CAE8A742"/>
    <w:lvl w:ilvl="0" w:tplc="58AE83A0">
      <w:start w:val="2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5E0A51"/>
    <w:multiLevelType w:val="hybridMultilevel"/>
    <w:tmpl w:val="4F26F00E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B253D"/>
    <w:multiLevelType w:val="multilevel"/>
    <w:tmpl w:val="430C729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29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ind w:left="720" w:hanging="436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E250861"/>
    <w:multiLevelType w:val="hybridMultilevel"/>
    <w:tmpl w:val="719CFED8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57729"/>
    <w:multiLevelType w:val="hybridMultilevel"/>
    <w:tmpl w:val="CEAE990A"/>
    <w:lvl w:ilvl="0" w:tplc="EF260D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C70BF"/>
    <w:multiLevelType w:val="hybridMultilevel"/>
    <w:tmpl w:val="2DEABEA2"/>
    <w:lvl w:ilvl="0" w:tplc="58AE83A0">
      <w:start w:val="2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5857C3"/>
    <w:multiLevelType w:val="hybridMultilevel"/>
    <w:tmpl w:val="324616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0045B"/>
    <w:multiLevelType w:val="hybridMultilevel"/>
    <w:tmpl w:val="A9E2C9F4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F5573"/>
    <w:multiLevelType w:val="hybridMultilevel"/>
    <w:tmpl w:val="2004A6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A0428"/>
    <w:multiLevelType w:val="hybridMultilevel"/>
    <w:tmpl w:val="62305D5C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003A0"/>
    <w:multiLevelType w:val="hybridMultilevel"/>
    <w:tmpl w:val="622A56A8"/>
    <w:lvl w:ilvl="0" w:tplc="DD5A8550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06BD0"/>
    <w:multiLevelType w:val="hybridMultilevel"/>
    <w:tmpl w:val="92CE76D6"/>
    <w:lvl w:ilvl="0" w:tplc="58AE83A0">
      <w:start w:val="2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546EF6"/>
    <w:multiLevelType w:val="hybridMultilevel"/>
    <w:tmpl w:val="7EE44D56"/>
    <w:lvl w:ilvl="0" w:tplc="E752E324">
      <w:start w:val="1"/>
      <w:numFmt w:val="upperLetter"/>
      <w:lvlText w:val="%1."/>
      <w:lvlJc w:val="left"/>
      <w:pPr>
        <w:ind w:left="71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32" w:hanging="360"/>
      </w:pPr>
    </w:lvl>
    <w:lvl w:ilvl="2" w:tplc="041B001B" w:tentative="1">
      <w:start w:val="1"/>
      <w:numFmt w:val="lowerRoman"/>
      <w:lvlText w:val="%3."/>
      <w:lvlJc w:val="right"/>
      <w:pPr>
        <w:ind w:left="2152" w:hanging="180"/>
      </w:pPr>
    </w:lvl>
    <w:lvl w:ilvl="3" w:tplc="041B000F" w:tentative="1">
      <w:start w:val="1"/>
      <w:numFmt w:val="decimal"/>
      <w:lvlText w:val="%4."/>
      <w:lvlJc w:val="left"/>
      <w:pPr>
        <w:ind w:left="2872" w:hanging="360"/>
      </w:pPr>
    </w:lvl>
    <w:lvl w:ilvl="4" w:tplc="041B0019" w:tentative="1">
      <w:start w:val="1"/>
      <w:numFmt w:val="lowerLetter"/>
      <w:lvlText w:val="%5."/>
      <w:lvlJc w:val="left"/>
      <w:pPr>
        <w:ind w:left="3592" w:hanging="360"/>
      </w:pPr>
    </w:lvl>
    <w:lvl w:ilvl="5" w:tplc="041B001B" w:tentative="1">
      <w:start w:val="1"/>
      <w:numFmt w:val="lowerRoman"/>
      <w:lvlText w:val="%6."/>
      <w:lvlJc w:val="right"/>
      <w:pPr>
        <w:ind w:left="4312" w:hanging="180"/>
      </w:pPr>
    </w:lvl>
    <w:lvl w:ilvl="6" w:tplc="041B000F" w:tentative="1">
      <w:start w:val="1"/>
      <w:numFmt w:val="decimal"/>
      <w:lvlText w:val="%7."/>
      <w:lvlJc w:val="left"/>
      <w:pPr>
        <w:ind w:left="5032" w:hanging="360"/>
      </w:pPr>
    </w:lvl>
    <w:lvl w:ilvl="7" w:tplc="041B0019" w:tentative="1">
      <w:start w:val="1"/>
      <w:numFmt w:val="lowerLetter"/>
      <w:lvlText w:val="%8."/>
      <w:lvlJc w:val="left"/>
      <w:pPr>
        <w:ind w:left="5752" w:hanging="360"/>
      </w:pPr>
    </w:lvl>
    <w:lvl w:ilvl="8" w:tplc="041B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3" w15:restartNumberingAfterBreak="0">
    <w:nsid w:val="7A585688"/>
    <w:multiLevelType w:val="hybridMultilevel"/>
    <w:tmpl w:val="CC14A3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21B93"/>
    <w:multiLevelType w:val="hybridMultilevel"/>
    <w:tmpl w:val="2FEA82A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5F"/>
    <w:rsid w:val="000033B7"/>
    <w:rsid w:val="00004355"/>
    <w:rsid w:val="00005227"/>
    <w:rsid w:val="0000567E"/>
    <w:rsid w:val="00006548"/>
    <w:rsid w:val="000104A4"/>
    <w:rsid w:val="000123A0"/>
    <w:rsid w:val="00014CEC"/>
    <w:rsid w:val="00017220"/>
    <w:rsid w:val="0001775A"/>
    <w:rsid w:val="00020B71"/>
    <w:rsid w:val="000218AC"/>
    <w:rsid w:val="00022F66"/>
    <w:rsid w:val="000233C2"/>
    <w:rsid w:val="0003637F"/>
    <w:rsid w:val="0003761B"/>
    <w:rsid w:val="00042165"/>
    <w:rsid w:val="00042FB6"/>
    <w:rsid w:val="0004404E"/>
    <w:rsid w:val="000440F2"/>
    <w:rsid w:val="00046E64"/>
    <w:rsid w:val="00047F9E"/>
    <w:rsid w:val="00052E67"/>
    <w:rsid w:val="000613FB"/>
    <w:rsid w:val="00062023"/>
    <w:rsid w:val="00063970"/>
    <w:rsid w:val="00067BD8"/>
    <w:rsid w:val="000701CB"/>
    <w:rsid w:val="00070F80"/>
    <w:rsid w:val="0007175E"/>
    <w:rsid w:val="00071C38"/>
    <w:rsid w:val="00071F05"/>
    <w:rsid w:val="000732EC"/>
    <w:rsid w:val="00074129"/>
    <w:rsid w:val="000742D9"/>
    <w:rsid w:val="0007431C"/>
    <w:rsid w:val="000810C4"/>
    <w:rsid w:val="000817E1"/>
    <w:rsid w:val="0008202F"/>
    <w:rsid w:val="00084455"/>
    <w:rsid w:val="0009030F"/>
    <w:rsid w:val="00091F25"/>
    <w:rsid w:val="000928A7"/>
    <w:rsid w:val="00092BCC"/>
    <w:rsid w:val="00094F62"/>
    <w:rsid w:val="00095E2B"/>
    <w:rsid w:val="00096333"/>
    <w:rsid w:val="0009717A"/>
    <w:rsid w:val="00097864"/>
    <w:rsid w:val="000A1825"/>
    <w:rsid w:val="000A2EE0"/>
    <w:rsid w:val="000A310C"/>
    <w:rsid w:val="000A34AF"/>
    <w:rsid w:val="000A4E02"/>
    <w:rsid w:val="000A6BC0"/>
    <w:rsid w:val="000B035A"/>
    <w:rsid w:val="000B7B8B"/>
    <w:rsid w:val="000C09AC"/>
    <w:rsid w:val="000C0A2E"/>
    <w:rsid w:val="000D0C3F"/>
    <w:rsid w:val="000D2784"/>
    <w:rsid w:val="000D36F8"/>
    <w:rsid w:val="000D5DE3"/>
    <w:rsid w:val="000D66E2"/>
    <w:rsid w:val="000D6E6A"/>
    <w:rsid w:val="000E32D8"/>
    <w:rsid w:val="000E3D24"/>
    <w:rsid w:val="000E5367"/>
    <w:rsid w:val="000F4863"/>
    <w:rsid w:val="000F53E3"/>
    <w:rsid w:val="000F5C4B"/>
    <w:rsid w:val="00102590"/>
    <w:rsid w:val="00103064"/>
    <w:rsid w:val="00104092"/>
    <w:rsid w:val="001048B3"/>
    <w:rsid w:val="00104D73"/>
    <w:rsid w:val="001126F9"/>
    <w:rsid w:val="00113183"/>
    <w:rsid w:val="001136B5"/>
    <w:rsid w:val="00113A53"/>
    <w:rsid w:val="00113CB2"/>
    <w:rsid w:val="00116281"/>
    <w:rsid w:val="00121B38"/>
    <w:rsid w:val="00121B43"/>
    <w:rsid w:val="00122192"/>
    <w:rsid w:val="001246D5"/>
    <w:rsid w:val="00125709"/>
    <w:rsid w:val="00131D7E"/>
    <w:rsid w:val="00133017"/>
    <w:rsid w:val="0013479C"/>
    <w:rsid w:val="00136017"/>
    <w:rsid w:val="00136572"/>
    <w:rsid w:val="00137459"/>
    <w:rsid w:val="001379B3"/>
    <w:rsid w:val="00141352"/>
    <w:rsid w:val="00146924"/>
    <w:rsid w:val="00152384"/>
    <w:rsid w:val="001531FB"/>
    <w:rsid w:val="00153A84"/>
    <w:rsid w:val="00155544"/>
    <w:rsid w:val="00156CF1"/>
    <w:rsid w:val="001671E7"/>
    <w:rsid w:val="00167A9D"/>
    <w:rsid w:val="0017184E"/>
    <w:rsid w:val="00172607"/>
    <w:rsid w:val="001726D8"/>
    <w:rsid w:val="00174E3E"/>
    <w:rsid w:val="00176954"/>
    <w:rsid w:val="00176B31"/>
    <w:rsid w:val="00181663"/>
    <w:rsid w:val="00183845"/>
    <w:rsid w:val="00183A8B"/>
    <w:rsid w:val="00190A8A"/>
    <w:rsid w:val="00190F7A"/>
    <w:rsid w:val="00192452"/>
    <w:rsid w:val="00193A54"/>
    <w:rsid w:val="00193FAE"/>
    <w:rsid w:val="00194A2A"/>
    <w:rsid w:val="00194D99"/>
    <w:rsid w:val="00196036"/>
    <w:rsid w:val="001A0806"/>
    <w:rsid w:val="001A1BA2"/>
    <w:rsid w:val="001A5BBD"/>
    <w:rsid w:val="001B01AB"/>
    <w:rsid w:val="001B14F0"/>
    <w:rsid w:val="001B1597"/>
    <w:rsid w:val="001B1EDF"/>
    <w:rsid w:val="001B4A2F"/>
    <w:rsid w:val="001B725D"/>
    <w:rsid w:val="001C3442"/>
    <w:rsid w:val="001C47FF"/>
    <w:rsid w:val="001C6536"/>
    <w:rsid w:val="001C6FF7"/>
    <w:rsid w:val="001D11AE"/>
    <w:rsid w:val="001D4BCC"/>
    <w:rsid w:val="001D6496"/>
    <w:rsid w:val="001E119C"/>
    <w:rsid w:val="001E2F49"/>
    <w:rsid w:val="001E7C50"/>
    <w:rsid w:val="001E7D21"/>
    <w:rsid w:val="001F0743"/>
    <w:rsid w:val="00205DEC"/>
    <w:rsid w:val="00214BA2"/>
    <w:rsid w:val="00216B0C"/>
    <w:rsid w:val="00220211"/>
    <w:rsid w:val="0022205C"/>
    <w:rsid w:val="002229D1"/>
    <w:rsid w:val="00232CAD"/>
    <w:rsid w:val="00232D50"/>
    <w:rsid w:val="002409E9"/>
    <w:rsid w:val="00242DF5"/>
    <w:rsid w:val="0024762C"/>
    <w:rsid w:val="00247F1C"/>
    <w:rsid w:val="00250C4A"/>
    <w:rsid w:val="0025192D"/>
    <w:rsid w:val="00252444"/>
    <w:rsid w:val="00257848"/>
    <w:rsid w:val="00260DEE"/>
    <w:rsid w:val="00261176"/>
    <w:rsid w:val="0026406D"/>
    <w:rsid w:val="00267100"/>
    <w:rsid w:val="002734B0"/>
    <w:rsid w:val="0027443F"/>
    <w:rsid w:val="00275493"/>
    <w:rsid w:val="00275B8E"/>
    <w:rsid w:val="00277AFB"/>
    <w:rsid w:val="00281524"/>
    <w:rsid w:val="00282E70"/>
    <w:rsid w:val="00286122"/>
    <w:rsid w:val="00286DB7"/>
    <w:rsid w:val="00286EA7"/>
    <w:rsid w:val="00290E37"/>
    <w:rsid w:val="002947AF"/>
    <w:rsid w:val="0029777A"/>
    <w:rsid w:val="002A04A2"/>
    <w:rsid w:val="002A0995"/>
    <w:rsid w:val="002A12FB"/>
    <w:rsid w:val="002A186D"/>
    <w:rsid w:val="002A1C94"/>
    <w:rsid w:val="002A2FC2"/>
    <w:rsid w:val="002A4549"/>
    <w:rsid w:val="002A5737"/>
    <w:rsid w:val="002B0A29"/>
    <w:rsid w:val="002B1132"/>
    <w:rsid w:val="002B1491"/>
    <w:rsid w:val="002B1812"/>
    <w:rsid w:val="002B1C63"/>
    <w:rsid w:val="002B6258"/>
    <w:rsid w:val="002B7615"/>
    <w:rsid w:val="002B7CF8"/>
    <w:rsid w:val="002C2CEC"/>
    <w:rsid w:val="002C2E0B"/>
    <w:rsid w:val="002C4456"/>
    <w:rsid w:val="002D30BA"/>
    <w:rsid w:val="002D33F6"/>
    <w:rsid w:val="002D4205"/>
    <w:rsid w:val="002D5CFE"/>
    <w:rsid w:val="002D5FD4"/>
    <w:rsid w:val="002E05FE"/>
    <w:rsid w:val="002E0CF8"/>
    <w:rsid w:val="002E1EA2"/>
    <w:rsid w:val="002E644D"/>
    <w:rsid w:val="002F1033"/>
    <w:rsid w:val="002F2710"/>
    <w:rsid w:val="002F34C4"/>
    <w:rsid w:val="002F768C"/>
    <w:rsid w:val="00301012"/>
    <w:rsid w:val="00302B03"/>
    <w:rsid w:val="0030416A"/>
    <w:rsid w:val="00304EA6"/>
    <w:rsid w:val="00306A09"/>
    <w:rsid w:val="00307671"/>
    <w:rsid w:val="00307AF1"/>
    <w:rsid w:val="00310068"/>
    <w:rsid w:val="00310146"/>
    <w:rsid w:val="00310F24"/>
    <w:rsid w:val="00312549"/>
    <w:rsid w:val="00313E2C"/>
    <w:rsid w:val="0032445F"/>
    <w:rsid w:val="003270D9"/>
    <w:rsid w:val="0032744B"/>
    <w:rsid w:val="003275D4"/>
    <w:rsid w:val="00327B49"/>
    <w:rsid w:val="00327EA5"/>
    <w:rsid w:val="00333252"/>
    <w:rsid w:val="003350FC"/>
    <w:rsid w:val="003370BD"/>
    <w:rsid w:val="00342EA3"/>
    <w:rsid w:val="00343B9F"/>
    <w:rsid w:val="00344E98"/>
    <w:rsid w:val="0034564A"/>
    <w:rsid w:val="00350E8F"/>
    <w:rsid w:val="0035117F"/>
    <w:rsid w:val="00351DF7"/>
    <w:rsid w:val="0035220D"/>
    <w:rsid w:val="003539CE"/>
    <w:rsid w:val="00356C4C"/>
    <w:rsid w:val="00357DA8"/>
    <w:rsid w:val="00362DB6"/>
    <w:rsid w:val="00363CA0"/>
    <w:rsid w:val="00371946"/>
    <w:rsid w:val="00371E0D"/>
    <w:rsid w:val="0037335A"/>
    <w:rsid w:val="00373A55"/>
    <w:rsid w:val="003746FC"/>
    <w:rsid w:val="003765EE"/>
    <w:rsid w:val="003772DE"/>
    <w:rsid w:val="00380143"/>
    <w:rsid w:val="003806B9"/>
    <w:rsid w:val="00381135"/>
    <w:rsid w:val="00384037"/>
    <w:rsid w:val="0039173C"/>
    <w:rsid w:val="003917F3"/>
    <w:rsid w:val="003935E1"/>
    <w:rsid w:val="00394DC2"/>
    <w:rsid w:val="003951F8"/>
    <w:rsid w:val="003964E0"/>
    <w:rsid w:val="00396809"/>
    <w:rsid w:val="00396DF1"/>
    <w:rsid w:val="003A2D45"/>
    <w:rsid w:val="003B07B0"/>
    <w:rsid w:val="003B1901"/>
    <w:rsid w:val="003B2A8F"/>
    <w:rsid w:val="003B3338"/>
    <w:rsid w:val="003B49FA"/>
    <w:rsid w:val="003C11B1"/>
    <w:rsid w:val="003C170E"/>
    <w:rsid w:val="003C238C"/>
    <w:rsid w:val="003C2D42"/>
    <w:rsid w:val="003C54A1"/>
    <w:rsid w:val="003C7B31"/>
    <w:rsid w:val="003D1A8C"/>
    <w:rsid w:val="003D56F5"/>
    <w:rsid w:val="003E0557"/>
    <w:rsid w:val="003E12BE"/>
    <w:rsid w:val="003E1C7E"/>
    <w:rsid w:val="003E2304"/>
    <w:rsid w:val="003E4594"/>
    <w:rsid w:val="003E4701"/>
    <w:rsid w:val="003E483D"/>
    <w:rsid w:val="003E4FEF"/>
    <w:rsid w:val="003E799F"/>
    <w:rsid w:val="003F13C9"/>
    <w:rsid w:val="003F62C4"/>
    <w:rsid w:val="00401E5F"/>
    <w:rsid w:val="00402641"/>
    <w:rsid w:val="004028E4"/>
    <w:rsid w:val="00404815"/>
    <w:rsid w:val="0040610B"/>
    <w:rsid w:val="004070A4"/>
    <w:rsid w:val="00407ADC"/>
    <w:rsid w:val="00410D5F"/>
    <w:rsid w:val="00412563"/>
    <w:rsid w:val="0041739C"/>
    <w:rsid w:val="00417D8F"/>
    <w:rsid w:val="00422C7A"/>
    <w:rsid w:val="00424B8B"/>
    <w:rsid w:val="00427B7C"/>
    <w:rsid w:val="0043069B"/>
    <w:rsid w:val="00435BC2"/>
    <w:rsid w:val="004360A1"/>
    <w:rsid w:val="0044128F"/>
    <w:rsid w:val="00441AE0"/>
    <w:rsid w:val="00445617"/>
    <w:rsid w:val="004459D1"/>
    <w:rsid w:val="00446C9F"/>
    <w:rsid w:val="00447D2C"/>
    <w:rsid w:val="00450958"/>
    <w:rsid w:val="004514F5"/>
    <w:rsid w:val="00453D00"/>
    <w:rsid w:val="00470605"/>
    <w:rsid w:val="0047188C"/>
    <w:rsid w:val="004731B9"/>
    <w:rsid w:val="004740B9"/>
    <w:rsid w:val="00476E05"/>
    <w:rsid w:val="00483283"/>
    <w:rsid w:val="00484076"/>
    <w:rsid w:val="0049160A"/>
    <w:rsid w:val="00491B34"/>
    <w:rsid w:val="00496871"/>
    <w:rsid w:val="00496DB5"/>
    <w:rsid w:val="00497114"/>
    <w:rsid w:val="004A0E50"/>
    <w:rsid w:val="004A357F"/>
    <w:rsid w:val="004B04A8"/>
    <w:rsid w:val="004B12F2"/>
    <w:rsid w:val="004B15A2"/>
    <w:rsid w:val="004B3F41"/>
    <w:rsid w:val="004C0144"/>
    <w:rsid w:val="004C06CB"/>
    <w:rsid w:val="004C0840"/>
    <w:rsid w:val="004C18AB"/>
    <w:rsid w:val="004C3EE2"/>
    <w:rsid w:val="004C5346"/>
    <w:rsid w:val="004C5E73"/>
    <w:rsid w:val="004D0885"/>
    <w:rsid w:val="004D1E42"/>
    <w:rsid w:val="004D272B"/>
    <w:rsid w:val="004E0A4E"/>
    <w:rsid w:val="004E2CF5"/>
    <w:rsid w:val="004E3A2F"/>
    <w:rsid w:val="004E4810"/>
    <w:rsid w:val="004E62EF"/>
    <w:rsid w:val="004F0549"/>
    <w:rsid w:val="004F1AB5"/>
    <w:rsid w:val="004F3B22"/>
    <w:rsid w:val="004F3EF2"/>
    <w:rsid w:val="004F54A6"/>
    <w:rsid w:val="004F6BBE"/>
    <w:rsid w:val="00503B8F"/>
    <w:rsid w:val="00504389"/>
    <w:rsid w:val="00507288"/>
    <w:rsid w:val="00513268"/>
    <w:rsid w:val="00514D3A"/>
    <w:rsid w:val="00521040"/>
    <w:rsid w:val="0052216A"/>
    <w:rsid w:val="005241BE"/>
    <w:rsid w:val="00524780"/>
    <w:rsid w:val="00530EC8"/>
    <w:rsid w:val="005324CD"/>
    <w:rsid w:val="00534289"/>
    <w:rsid w:val="00535ED2"/>
    <w:rsid w:val="0054001A"/>
    <w:rsid w:val="005514EC"/>
    <w:rsid w:val="00551895"/>
    <w:rsid w:val="005552FA"/>
    <w:rsid w:val="005658F8"/>
    <w:rsid w:val="0057159E"/>
    <w:rsid w:val="0057384B"/>
    <w:rsid w:val="00576083"/>
    <w:rsid w:val="005803F7"/>
    <w:rsid w:val="005808AF"/>
    <w:rsid w:val="00581796"/>
    <w:rsid w:val="00582517"/>
    <w:rsid w:val="00582861"/>
    <w:rsid w:val="00585B8C"/>
    <w:rsid w:val="00591E1A"/>
    <w:rsid w:val="00593D88"/>
    <w:rsid w:val="0059411D"/>
    <w:rsid w:val="00594D87"/>
    <w:rsid w:val="00595250"/>
    <w:rsid w:val="005A58CD"/>
    <w:rsid w:val="005A6FDD"/>
    <w:rsid w:val="005A725E"/>
    <w:rsid w:val="005B16C8"/>
    <w:rsid w:val="005B4308"/>
    <w:rsid w:val="005B451A"/>
    <w:rsid w:val="005B46DF"/>
    <w:rsid w:val="005B58C5"/>
    <w:rsid w:val="005C006B"/>
    <w:rsid w:val="005C300D"/>
    <w:rsid w:val="005C4FB0"/>
    <w:rsid w:val="005C7FA6"/>
    <w:rsid w:val="005D172F"/>
    <w:rsid w:val="005D1991"/>
    <w:rsid w:val="005D39E7"/>
    <w:rsid w:val="005D529B"/>
    <w:rsid w:val="005D5D5E"/>
    <w:rsid w:val="005D6112"/>
    <w:rsid w:val="005D75D1"/>
    <w:rsid w:val="005E0B85"/>
    <w:rsid w:val="005E2C39"/>
    <w:rsid w:val="005E3B0B"/>
    <w:rsid w:val="005E7AFF"/>
    <w:rsid w:val="005F037C"/>
    <w:rsid w:val="005F5306"/>
    <w:rsid w:val="005F54CA"/>
    <w:rsid w:val="0060040C"/>
    <w:rsid w:val="006053DB"/>
    <w:rsid w:val="00607C39"/>
    <w:rsid w:val="006119D0"/>
    <w:rsid w:val="0061603E"/>
    <w:rsid w:val="006222D4"/>
    <w:rsid w:val="006246C4"/>
    <w:rsid w:val="00632A7D"/>
    <w:rsid w:val="006351B7"/>
    <w:rsid w:val="00635ADB"/>
    <w:rsid w:val="00636971"/>
    <w:rsid w:val="00636C12"/>
    <w:rsid w:val="006472AF"/>
    <w:rsid w:val="00647481"/>
    <w:rsid w:val="00654643"/>
    <w:rsid w:val="0065524A"/>
    <w:rsid w:val="00661B7C"/>
    <w:rsid w:val="00664054"/>
    <w:rsid w:val="0066639B"/>
    <w:rsid w:val="0066702D"/>
    <w:rsid w:val="00670987"/>
    <w:rsid w:val="00670A9C"/>
    <w:rsid w:val="00671FF9"/>
    <w:rsid w:val="00675EF8"/>
    <w:rsid w:val="00676066"/>
    <w:rsid w:val="006762D1"/>
    <w:rsid w:val="0067655D"/>
    <w:rsid w:val="00680574"/>
    <w:rsid w:val="00681B0F"/>
    <w:rsid w:val="00681E50"/>
    <w:rsid w:val="00682AEB"/>
    <w:rsid w:val="0068343B"/>
    <w:rsid w:val="006852DF"/>
    <w:rsid w:val="00686859"/>
    <w:rsid w:val="0069032C"/>
    <w:rsid w:val="00692A65"/>
    <w:rsid w:val="006A205A"/>
    <w:rsid w:val="006A3F6F"/>
    <w:rsid w:val="006B62DD"/>
    <w:rsid w:val="006B6310"/>
    <w:rsid w:val="006C2D21"/>
    <w:rsid w:val="006C51C5"/>
    <w:rsid w:val="006C5631"/>
    <w:rsid w:val="006C6B1B"/>
    <w:rsid w:val="006D16CE"/>
    <w:rsid w:val="006D3A5D"/>
    <w:rsid w:val="006D461A"/>
    <w:rsid w:val="006D64F5"/>
    <w:rsid w:val="006E078B"/>
    <w:rsid w:val="006E27A6"/>
    <w:rsid w:val="006E3687"/>
    <w:rsid w:val="006E391C"/>
    <w:rsid w:val="00701B2C"/>
    <w:rsid w:val="00702200"/>
    <w:rsid w:val="00702433"/>
    <w:rsid w:val="00705327"/>
    <w:rsid w:val="007105AA"/>
    <w:rsid w:val="00716D35"/>
    <w:rsid w:val="007173A9"/>
    <w:rsid w:val="00717AC0"/>
    <w:rsid w:val="0072198F"/>
    <w:rsid w:val="00722C3F"/>
    <w:rsid w:val="0072424F"/>
    <w:rsid w:val="007255F1"/>
    <w:rsid w:val="0073271B"/>
    <w:rsid w:val="00732720"/>
    <w:rsid w:val="00732C8E"/>
    <w:rsid w:val="00734F37"/>
    <w:rsid w:val="007373A1"/>
    <w:rsid w:val="00751B25"/>
    <w:rsid w:val="00752011"/>
    <w:rsid w:val="0075230A"/>
    <w:rsid w:val="0075340F"/>
    <w:rsid w:val="007547A6"/>
    <w:rsid w:val="00754F2A"/>
    <w:rsid w:val="007553C4"/>
    <w:rsid w:val="007557BE"/>
    <w:rsid w:val="0076473C"/>
    <w:rsid w:val="00765478"/>
    <w:rsid w:val="00770F6F"/>
    <w:rsid w:val="00770FB2"/>
    <w:rsid w:val="00771B1D"/>
    <w:rsid w:val="007723EA"/>
    <w:rsid w:val="00772605"/>
    <w:rsid w:val="007825D9"/>
    <w:rsid w:val="0078307B"/>
    <w:rsid w:val="00787FB9"/>
    <w:rsid w:val="00793ADB"/>
    <w:rsid w:val="0079459C"/>
    <w:rsid w:val="00794937"/>
    <w:rsid w:val="007A0D79"/>
    <w:rsid w:val="007A2A25"/>
    <w:rsid w:val="007A3ABE"/>
    <w:rsid w:val="007A40EC"/>
    <w:rsid w:val="007A5518"/>
    <w:rsid w:val="007A5C21"/>
    <w:rsid w:val="007A6F13"/>
    <w:rsid w:val="007B3850"/>
    <w:rsid w:val="007C3919"/>
    <w:rsid w:val="007C481D"/>
    <w:rsid w:val="007C5AFF"/>
    <w:rsid w:val="007D08EE"/>
    <w:rsid w:val="007D157A"/>
    <w:rsid w:val="007D3286"/>
    <w:rsid w:val="007D329F"/>
    <w:rsid w:val="007D3839"/>
    <w:rsid w:val="007D4DCE"/>
    <w:rsid w:val="007D5674"/>
    <w:rsid w:val="007D6C35"/>
    <w:rsid w:val="007E0503"/>
    <w:rsid w:val="007E202E"/>
    <w:rsid w:val="007E2580"/>
    <w:rsid w:val="007E2FFC"/>
    <w:rsid w:val="007E424E"/>
    <w:rsid w:val="007E67CF"/>
    <w:rsid w:val="007F079B"/>
    <w:rsid w:val="007F1CF7"/>
    <w:rsid w:val="00801AFE"/>
    <w:rsid w:val="00801DE8"/>
    <w:rsid w:val="00817703"/>
    <w:rsid w:val="00822238"/>
    <w:rsid w:val="008246E8"/>
    <w:rsid w:val="00824F15"/>
    <w:rsid w:val="00832154"/>
    <w:rsid w:val="00832441"/>
    <w:rsid w:val="00832D97"/>
    <w:rsid w:val="008352C0"/>
    <w:rsid w:val="00841152"/>
    <w:rsid w:val="00841D1F"/>
    <w:rsid w:val="00842837"/>
    <w:rsid w:val="0084297B"/>
    <w:rsid w:val="00845290"/>
    <w:rsid w:val="008457A7"/>
    <w:rsid w:val="0084700A"/>
    <w:rsid w:val="00850AFE"/>
    <w:rsid w:val="008516AC"/>
    <w:rsid w:val="00851782"/>
    <w:rsid w:val="00851D15"/>
    <w:rsid w:val="00862151"/>
    <w:rsid w:val="00867607"/>
    <w:rsid w:val="00867AEC"/>
    <w:rsid w:val="00874196"/>
    <w:rsid w:val="008749E4"/>
    <w:rsid w:val="0088109E"/>
    <w:rsid w:val="00884E71"/>
    <w:rsid w:val="00885113"/>
    <w:rsid w:val="00886142"/>
    <w:rsid w:val="0088623B"/>
    <w:rsid w:val="00886BCD"/>
    <w:rsid w:val="00887229"/>
    <w:rsid w:val="00887E54"/>
    <w:rsid w:val="00887FDD"/>
    <w:rsid w:val="00891814"/>
    <w:rsid w:val="00894D86"/>
    <w:rsid w:val="00895842"/>
    <w:rsid w:val="008973BF"/>
    <w:rsid w:val="008A2615"/>
    <w:rsid w:val="008A6912"/>
    <w:rsid w:val="008B097E"/>
    <w:rsid w:val="008B0BA9"/>
    <w:rsid w:val="008B795A"/>
    <w:rsid w:val="008B79EE"/>
    <w:rsid w:val="008C06AC"/>
    <w:rsid w:val="008C0DB9"/>
    <w:rsid w:val="008C2C95"/>
    <w:rsid w:val="008C3DD8"/>
    <w:rsid w:val="008D062C"/>
    <w:rsid w:val="008D1713"/>
    <w:rsid w:val="008D209E"/>
    <w:rsid w:val="008D24E6"/>
    <w:rsid w:val="008D290E"/>
    <w:rsid w:val="008D2D48"/>
    <w:rsid w:val="008D31EF"/>
    <w:rsid w:val="008D4B43"/>
    <w:rsid w:val="008D4F26"/>
    <w:rsid w:val="008D578E"/>
    <w:rsid w:val="008D6CCE"/>
    <w:rsid w:val="008E521C"/>
    <w:rsid w:val="008F4F46"/>
    <w:rsid w:val="008F61E0"/>
    <w:rsid w:val="00902D83"/>
    <w:rsid w:val="0090366A"/>
    <w:rsid w:val="009048B1"/>
    <w:rsid w:val="009068F9"/>
    <w:rsid w:val="00906BF9"/>
    <w:rsid w:val="00913179"/>
    <w:rsid w:val="009167A9"/>
    <w:rsid w:val="00917A11"/>
    <w:rsid w:val="009205DB"/>
    <w:rsid w:val="00924BA5"/>
    <w:rsid w:val="00926B38"/>
    <w:rsid w:val="00927EFD"/>
    <w:rsid w:val="00934828"/>
    <w:rsid w:val="009350EC"/>
    <w:rsid w:val="00935135"/>
    <w:rsid w:val="009352C8"/>
    <w:rsid w:val="00935638"/>
    <w:rsid w:val="00935E90"/>
    <w:rsid w:val="00935F04"/>
    <w:rsid w:val="0094114D"/>
    <w:rsid w:val="00941499"/>
    <w:rsid w:val="0094234F"/>
    <w:rsid w:val="00944081"/>
    <w:rsid w:val="00945B06"/>
    <w:rsid w:val="009512AE"/>
    <w:rsid w:val="00952D19"/>
    <w:rsid w:val="00953165"/>
    <w:rsid w:val="00953D17"/>
    <w:rsid w:val="009555FA"/>
    <w:rsid w:val="00956C82"/>
    <w:rsid w:val="00965A32"/>
    <w:rsid w:val="00965B7F"/>
    <w:rsid w:val="0096626B"/>
    <w:rsid w:val="009669BF"/>
    <w:rsid w:val="00971688"/>
    <w:rsid w:val="00974544"/>
    <w:rsid w:val="009776CE"/>
    <w:rsid w:val="00977AC3"/>
    <w:rsid w:val="009814D7"/>
    <w:rsid w:val="00983076"/>
    <w:rsid w:val="0099219A"/>
    <w:rsid w:val="009942DF"/>
    <w:rsid w:val="009976CD"/>
    <w:rsid w:val="009A19AA"/>
    <w:rsid w:val="009A1E10"/>
    <w:rsid w:val="009A2B03"/>
    <w:rsid w:val="009A7053"/>
    <w:rsid w:val="009B3AD6"/>
    <w:rsid w:val="009B7BC4"/>
    <w:rsid w:val="009B7F2E"/>
    <w:rsid w:val="009C3715"/>
    <w:rsid w:val="009C447B"/>
    <w:rsid w:val="009C511A"/>
    <w:rsid w:val="009D4999"/>
    <w:rsid w:val="009D58A3"/>
    <w:rsid w:val="009D7C32"/>
    <w:rsid w:val="009E4794"/>
    <w:rsid w:val="009F11D9"/>
    <w:rsid w:val="009F2063"/>
    <w:rsid w:val="00A0283B"/>
    <w:rsid w:val="00A04CE6"/>
    <w:rsid w:val="00A14AF9"/>
    <w:rsid w:val="00A218FE"/>
    <w:rsid w:val="00A21FA2"/>
    <w:rsid w:val="00A222B5"/>
    <w:rsid w:val="00A22D05"/>
    <w:rsid w:val="00A23717"/>
    <w:rsid w:val="00A2579A"/>
    <w:rsid w:val="00A274EC"/>
    <w:rsid w:val="00A3093B"/>
    <w:rsid w:val="00A324F5"/>
    <w:rsid w:val="00A327F2"/>
    <w:rsid w:val="00A439D5"/>
    <w:rsid w:val="00A43EE3"/>
    <w:rsid w:val="00A4405D"/>
    <w:rsid w:val="00A4460F"/>
    <w:rsid w:val="00A4747A"/>
    <w:rsid w:val="00A51220"/>
    <w:rsid w:val="00A53D15"/>
    <w:rsid w:val="00A56564"/>
    <w:rsid w:val="00A63523"/>
    <w:rsid w:val="00A64B38"/>
    <w:rsid w:val="00A73646"/>
    <w:rsid w:val="00A763A9"/>
    <w:rsid w:val="00A807A7"/>
    <w:rsid w:val="00A8144A"/>
    <w:rsid w:val="00A91C38"/>
    <w:rsid w:val="00A929FA"/>
    <w:rsid w:val="00A93EAD"/>
    <w:rsid w:val="00A954A2"/>
    <w:rsid w:val="00AA0A73"/>
    <w:rsid w:val="00AA4B44"/>
    <w:rsid w:val="00AA58C6"/>
    <w:rsid w:val="00AB3B34"/>
    <w:rsid w:val="00AC02F4"/>
    <w:rsid w:val="00AC0963"/>
    <w:rsid w:val="00AC172D"/>
    <w:rsid w:val="00AC35BB"/>
    <w:rsid w:val="00AC6C7D"/>
    <w:rsid w:val="00AC7085"/>
    <w:rsid w:val="00AD2138"/>
    <w:rsid w:val="00AD6DE4"/>
    <w:rsid w:val="00AE160B"/>
    <w:rsid w:val="00AE2AE6"/>
    <w:rsid w:val="00AF00E3"/>
    <w:rsid w:val="00AF07FE"/>
    <w:rsid w:val="00AF0AAF"/>
    <w:rsid w:val="00AF18DE"/>
    <w:rsid w:val="00AF1A7D"/>
    <w:rsid w:val="00AF36BF"/>
    <w:rsid w:val="00AF4E6C"/>
    <w:rsid w:val="00AF7CDA"/>
    <w:rsid w:val="00B04B91"/>
    <w:rsid w:val="00B056C2"/>
    <w:rsid w:val="00B06937"/>
    <w:rsid w:val="00B10296"/>
    <w:rsid w:val="00B11373"/>
    <w:rsid w:val="00B11416"/>
    <w:rsid w:val="00B123C5"/>
    <w:rsid w:val="00B157C3"/>
    <w:rsid w:val="00B16B90"/>
    <w:rsid w:val="00B2391E"/>
    <w:rsid w:val="00B24C0B"/>
    <w:rsid w:val="00B253FE"/>
    <w:rsid w:val="00B26C25"/>
    <w:rsid w:val="00B277F1"/>
    <w:rsid w:val="00B31ECF"/>
    <w:rsid w:val="00B32964"/>
    <w:rsid w:val="00B333C9"/>
    <w:rsid w:val="00B34582"/>
    <w:rsid w:val="00B37E0A"/>
    <w:rsid w:val="00B40ED9"/>
    <w:rsid w:val="00B41FBA"/>
    <w:rsid w:val="00B43AC0"/>
    <w:rsid w:val="00B4491D"/>
    <w:rsid w:val="00B477DE"/>
    <w:rsid w:val="00B51BC6"/>
    <w:rsid w:val="00B524ED"/>
    <w:rsid w:val="00B527FC"/>
    <w:rsid w:val="00B534E9"/>
    <w:rsid w:val="00B55B37"/>
    <w:rsid w:val="00B6109D"/>
    <w:rsid w:val="00B61BF5"/>
    <w:rsid w:val="00B62C05"/>
    <w:rsid w:val="00B65048"/>
    <w:rsid w:val="00B679A0"/>
    <w:rsid w:val="00B724C8"/>
    <w:rsid w:val="00B73A73"/>
    <w:rsid w:val="00B76C15"/>
    <w:rsid w:val="00B81641"/>
    <w:rsid w:val="00B81DFE"/>
    <w:rsid w:val="00B8441C"/>
    <w:rsid w:val="00B845A6"/>
    <w:rsid w:val="00B84983"/>
    <w:rsid w:val="00B85016"/>
    <w:rsid w:val="00B87D8F"/>
    <w:rsid w:val="00B90553"/>
    <w:rsid w:val="00B9056C"/>
    <w:rsid w:val="00B93091"/>
    <w:rsid w:val="00B97355"/>
    <w:rsid w:val="00BA0BEF"/>
    <w:rsid w:val="00BA1EDA"/>
    <w:rsid w:val="00BA2073"/>
    <w:rsid w:val="00BA2910"/>
    <w:rsid w:val="00BA2CD7"/>
    <w:rsid w:val="00BA5806"/>
    <w:rsid w:val="00BA5BC9"/>
    <w:rsid w:val="00BB1587"/>
    <w:rsid w:val="00BB16B0"/>
    <w:rsid w:val="00BB2657"/>
    <w:rsid w:val="00BB39D6"/>
    <w:rsid w:val="00BB5598"/>
    <w:rsid w:val="00BB781D"/>
    <w:rsid w:val="00BC1A00"/>
    <w:rsid w:val="00BC49C9"/>
    <w:rsid w:val="00BD102E"/>
    <w:rsid w:val="00BD155A"/>
    <w:rsid w:val="00BD1C05"/>
    <w:rsid w:val="00BD3651"/>
    <w:rsid w:val="00BD5112"/>
    <w:rsid w:val="00BD654B"/>
    <w:rsid w:val="00BE3DAE"/>
    <w:rsid w:val="00BE4917"/>
    <w:rsid w:val="00BE509C"/>
    <w:rsid w:val="00BE5752"/>
    <w:rsid w:val="00BF025A"/>
    <w:rsid w:val="00BF1996"/>
    <w:rsid w:val="00BF2551"/>
    <w:rsid w:val="00BF3DFE"/>
    <w:rsid w:val="00BF4EC8"/>
    <w:rsid w:val="00BF515E"/>
    <w:rsid w:val="00BF7EA5"/>
    <w:rsid w:val="00C00CE6"/>
    <w:rsid w:val="00C02702"/>
    <w:rsid w:val="00C06092"/>
    <w:rsid w:val="00C07263"/>
    <w:rsid w:val="00C07853"/>
    <w:rsid w:val="00C10ABB"/>
    <w:rsid w:val="00C125DE"/>
    <w:rsid w:val="00C1533F"/>
    <w:rsid w:val="00C174B3"/>
    <w:rsid w:val="00C20F15"/>
    <w:rsid w:val="00C22193"/>
    <w:rsid w:val="00C22C6B"/>
    <w:rsid w:val="00C24D10"/>
    <w:rsid w:val="00C24E7C"/>
    <w:rsid w:val="00C27DEB"/>
    <w:rsid w:val="00C32654"/>
    <w:rsid w:val="00C36122"/>
    <w:rsid w:val="00C3758D"/>
    <w:rsid w:val="00C37BA3"/>
    <w:rsid w:val="00C43544"/>
    <w:rsid w:val="00C4416B"/>
    <w:rsid w:val="00C50C3D"/>
    <w:rsid w:val="00C51B5A"/>
    <w:rsid w:val="00C60D8E"/>
    <w:rsid w:val="00C61748"/>
    <w:rsid w:val="00C62897"/>
    <w:rsid w:val="00C629B7"/>
    <w:rsid w:val="00C62B28"/>
    <w:rsid w:val="00C631A2"/>
    <w:rsid w:val="00C633DE"/>
    <w:rsid w:val="00C6362D"/>
    <w:rsid w:val="00C65EB6"/>
    <w:rsid w:val="00C67FAA"/>
    <w:rsid w:val="00C70418"/>
    <w:rsid w:val="00C707FC"/>
    <w:rsid w:val="00C708B6"/>
    <w:rsid w:val="00C71637"/>
    <w:rsid w:val="00C725DB"/>
    <w:rsid w:val="00C77B23"/>
    <w:rsid w:val="00C77E50"/>
    <w:rsid w:val="00C77EEC"/>
    <w:rsid w:val="00C824C5"/>
    <w:rsid w:val="00C83BC6"/>
    <w:rsid w:val="00C84924"/>
    <w:rsid w:val="00C84D2C"/>
    <w:rsid w:val="00C85E32"/>
    <w:rsid w:val="00C867A8"/>
    <w:rsid w:val="00C91091"/>
    <w:rsid w:val="00C91C5A"/>
    <w:rsid w:val="00C92F0E"/>
    <w:rsid w:val="00C950C0"/>
    <w:rsid w:val="00C955E2"/>
    <w:rsid w:val="00C9617C"/>
    <w:rsid w:val="00C97047"/>
    <w:rsid w:val="00CA0BEF"/>
    <w:rsid w:val="00CA44AF"/>
    <w:rsid w:val="00CA7282"/>
    <w:rsid w:val="00CB368D"/>
    <w:rsid w:val="00CB73C7"/>
    <w:rsid w:val="00CB7EB3"/>
    <w:rsid w:val="00CC4961"/>
    <w:rsid w:val="00CC4A65"/>
    <w:rsid w:val="00CC5701"/>
    <w:rsid w:val="00CC616B"/>
    <w:rsid w:val="00CD0852"/>
    <w:rsid w:val="00CD0F39"/>
    <w:rsid w:val="00CD3AE6"/>
    <w:rsid w:val="00CF16D9"/>
    <w:rsid w:val="00CF2B5C"/>
    <w:rsid w:val="00CF38E3"/>
    <w:rsid w:val="00D00061"/>
    <w:rsid w:val="00D00A28"/>
    <w:rsid w:val="00D02088"/>
    <w:rsid w:val="00D027A9"/>
    <w:rsid w:val="00D049B5"/>
    <w:rsid w:val="00D06448"/>
    <w:rsid w:val="00D06B58"/>
    <w:rsid w:val="00D076AB"/>
    <w:rsid w:val="00D1332B"/>
    <w:rsid w:val="00D13955"/>
    <w:rsid w:val="00D1570F"/>
    <w:rsid w:val="00D158F5"/>
    <w:rsid w:val="00D166D3"/>
    <w:rsid w:val="00D16EE8"/>
    <w:rsid w:val="00D21756"/>
    <w:rsid w:val="00D22A65"/>
    <w:rsid w:val="00D23FE6"/>
    <w:rsid w:val="00D2402A"/>
    <w:rsid w:val="00D24B14"/>
    <w:rsid w:val="00D24B1D"/>
    <w:rsid w:val="00D26F2A"/>
    <w:rsid w:val="00D27693"/>
    <w:rsid w:val="00D30778"/>
    <w:rsid w:val="00D32568"/>
    <w:rsid w:val="00D32A3E"/>
    <w:rsid w:val="00D36300"/>
    <w:rsid w:val="00D40470"/>
    <w:rsid w:val="00D4201A"/>
    <w:rsid w:val="00D432E8"/>
    <w:rsid w:val="00D45CE5"/>
    <w:rsid w:val="00D45E50"/>
    <w:rsid w:val="00D510F6"/>
    <w:rsid w:val="00D60B3E"/>
    <w:rsid w:val="00D61E4F"/>
    <w:rsid w:val="00D63ECA"/>
    <w:rsid w:val="00D71587"/>
    <w:rsid w:val="00D71B23"/>
    <w:rsid w:val="00D7211A"/>
    <w:rsid w:val="00D7219B"/>
    <w:rsid w:val="00D7400D"/>
    <w:rsid w:val="00D74BA3"/>
    <w:rsid w:val="00D758FA"/>
    <w:rsid w:val="00D76CA5"/>
    <w:rsid w:val="00D8107D"/>
    <w:rsid w:val="00D8179A"/>
    <w:rsid w:val="00D82A55"/>
    <w:rsid w:val="00D85412"/>
    <w:rsid w:val="00D8570B"/>
    <w:rsid w:val="00D91530"/>
    <w:rsid w:val="00D942DB"/>
    <w:rsid w:val="00DA00FB"/>
    <w:rsid w:val="00DA3A31"/>
    <w:rsid w:val="00DA40C5"/>
    <w:rsid w:val="00DA4CD9"/>
    <w:rsid w:val="00DA4E90"/>
    <w:rsid w:val="00DA6C59"/>
    <w:rsid w:val="00DB4B54"/>
    <w:rsid w:val="00DB5615"/>
    <w:rsid w:val="00DB584F"/>
    <w:rsid w:val="00DB5B7D"/>
    <w:rsid w:val="00DB74E3"/>
    <w:rsid w:val="00DB7CBB"/>
    <w:rsid w:val="00DC2A39"/>
    <w:rsid w:val="00DC5566"/>
    <w:rsid w:val="00DC5CA2"/>
    <w:rsid w:val="00DD1559"/>
    <w:rsid w:val="00DD2FA3"/>
    <w:rsid w:val="00DD3535"/>
    <w:rsid w:val="00DD45D2"/>
    <w:rsid w:val="00DE0210"/>
    <w:rsid w:val="00DE0C75"/>
    <w:rsid w:val="00DE1F4D"/>
    <w:rsid w:val="00DE3EC2"/>
    <w:rsid w:val="00DE4EF0"/>
    <w:rsid w:val="00DE6184"/>
    <w:rsid w:val="00DE6BD8"/>
    <w:rsid w:val="00DE7568"/>
    <w:rsid w:val="00DE7862"/>
    <w:rsid w:val="00DF03C2"/>
    <w:rsid w:val="00DF190C"/>
    <w:rsid w:val="00DF53AD"/>
    <w:rsid w:val="00DF566C"/>
    <w:rsid w:val="00DF5891"/>
    <w:rsid w:val="00E045DE"/>
    <w:rsid w:val="00E050FB"/>
    <w:rsid w:val="00E05A31"/>
    <w:rsid w:val="00E1390C"/>
    <w:rsid w:val="00E13C1D"/>
    <w:rsid w:val="00E154AE"/>
    <w:rsid w:val="00E15FC9"/>
    <w:rsid w:val="00E16D8C"/>
    <w:rsid w:val="00E203F8"/>
    <w:rsid w:val="00E23637"/>
    <w:rsid w:val="00E239F8"/>
    <w:rsid w:val="00E2453B"/>
    <w:rsid w:val="00E252A6"/>
    <w:rsid w:val="00E261F4"/>
    <w:rsid w:val="00E27774"/>
    <w:rsid w:val="00E27934"/>
    <w:rsid w:val="00E27A91"/>
    <w:rsid w:val="00E3255C"/>
    <w:rsid w:val="00E327A8"/>
    <w:rsid w:val="00E34B4A"/>
    <w:rsid w:val="00E378F9"/>
    <w:rsid w:val="00E37B1C"/>
    <w:rsid w:val="00E40535"/>
    <w:rsid w:val="00E40EC0"/>
    <w:rsid w:val="00E5105A"/>
    <w:rsid w:val="00E54499"/>
    <w:rsid w:val="00E55C27"/>
    <w:rsid w:val="00E56A27"/>
    <w:rsid w:val="00E61603"/>
    <w:rsid w:val="00E635CE"/>
    <w:rsid w:val="00E647BD"/>
    <w:rsid w:val="00E64D15"/>
    <w:rsid w:val="00E65E1F"/>
    <w:rsid w:val="00E660C9"/>
    <w:rsid w:val="00E734E9"/>
    <w:rsid w:val="00E7461B"/>
    <w:rsid w:val="00E74E7C"/>
    <w:rsid w:val="00E75367"/>
    <w:rsid w:val="00E77A06"/>
    <w:rsid w:val="00E77E4E"/>
    <w:rsid w:val="00E800B3"/>
    <w:rsid w:val="00E80275"/>
    <w:rsid w:val="00E8229B"/>
    <w:rsid w:val="00E822A3"/>
    <w:rsid w:val="00E83FF0"/>
    <w:rsid w:val="00E84372"/>
    <w:rsid w:val="00E8484C"/>
    <w:rsid w:val="00E863DC"/>
    <w:rsid w:val="00E97DBE"/>
    <w:rsid w:val="00EA0429"/>
    <w:rsid w:val="00EA0ACD"/>
    <w:rsid w:val="00EA0BE9"/>
    <w:rsid w:val="00EA0D9E"/>
    <w:rsid w:val="00EA0FEF"/>
    <w:rsid w:val="00EA50E5"/>
    <w:rsid w:val="00EA6863"/>
    <w:rsid w:val="00EB05F9"/>
    <w:rsid w:val="00EB06E2"/>
    <w:rsid w:val="00EB284C"/>
    <w:rsid w:val="00EC04D2"/>
    <w:rsid w:val="00EC11C4"/>
    <w:rsid w:val="00EC2A81"/>
    <w:rsid w:val="00EC467D"/>
    <w:rsid w:val="00EC4802"/>
    <w:rsid w:val="00EC5B1C"/>
    <w:rsid w:val="00EC712C"/>
    <w:rsid w:val="00ED05A7"/>
    <w:rsid w:val="00ED3B83"/>
    <w:rsid w:val="00ED429F"/>
    <w:rsid w:val="00ED43E7"/>
    <w:rsid w:val="00ED4C0C"/>
    <w:rsid w:val="00EE167F"/>
    <w:rsid w:val="00EE48A1"/>
    <w:rsid w:val="00EE6337"/>
    <w:rsid w:val="00EE74B8"/>
    <w:rsid w:val="00EF2C7C"/>
    <w:rsid w:val="00F02555"/>
    <w:rsid w:val="00F03FE7"/>
    <w:rsid w:val="00F04A64"/>
    <w:rsid w:val="00F0523E"/>
    <w:rsid w:val="00F06C3A"/>
    <w:rsid w:val="00F122E3"/>
    <w:rsid w:val="00F12A40"/>
    <w:rsid w:val="00F13694"/>
    <w:rsid w:val="00F14DB8"/>
    <w:rsid w:val="00F166AA"/>
    <w:rsid w:val="00F16CA9"/>
    <w:rsid w:val="00F22004"/>
    <w:rsid w:val="00F2276C"/>
    <w:rsid w:val="00F262AF"/>
    <w:rsid w:val="00F268E8"/>
    <w:rsid w:val="00F26D7E"/>
    <w:rsid w:val="00F2732E"/>
    <w:rsid w:val="00F3136F"/>
    <w:rsid w:val="00F3747D"/>
    <w:rsid w:val="00F40BF7"/>
    <w:rsid w:val="00F40CAD"/>
    <w:rsid w:val="00F41995"/>
    <w:rsid w:val="00F42637"/>
    <w:rsid w:val="00F439BA"/>
    <w:rsid w:val="00F45DD3"/>
    <w:rsid w:val="00F52272"/>
    <w:rsid w:val="00F5404C"/>
    <w:rsid w:val="00F55A40"/>
    <w:rsid w:val="00F5691F"/>
    <w:rsid w:val="00F6151D"/>
    <w:rsid w:val="00F623A6"/>
    <w:rsid w:val="00F63954"/>
    <w:rsid w:val="00F70FAC"/>
    <w:rsid w:val="00F73048"/>
    <w:rsid w:val="00F7374D"/>
    <w:rsid w:val="00F73E22"/>
    <w:rsid w:val="00F74434"/>
    <w:rsid w:val="00F8044E"/>
    <w:rsid w:val="00F90453"/>
    <w:rsid w:val="00F9162E"/>
    <w:rsid w:val="00F9287E"/>
    <w:rsid w:val="00F95CB2"/>
    <w:rsid w:val="00F96A34"/>
    <w:rsid w:val="00FA034B"/>
    <w:rsid w:val="00FA2D2D"/>
    <w:rsid w:val="00FA4F1F"/>
    <w:rsid w:val="00FB3136"/>
    <w:rsid w:val="00FB4066"/>
    <w:rsid w:val="00FB676A"/>
    <w:rsid w:val="00FB6A6C"/>
    <w:rsid w:val="00FB7996"/>
    <w:rsid w:val="00FC1FF4"/>
    <w:rsid w:val="00FC2107"/>
    <w:rsid w:val="00FC40AE"/>
    <w:rsid w:val="00FC51FD"/>
    <w:rsid w:val="00FC53B4"/>
    <w:rsid w:val="00FC56DD"/>
    <w:rsid w:val="00FC7D28"/>
    <w:rsid w:val="00FD19DD"/>
    <w:rsid w:val="00FD5B3D"/>
    <w:rsid w:val="00FD7613"/>
    <w:rsid w:val="00FD7BE2"/>
    <w:rsid w:val="00FE179A"/>
    <w:rsid w:val="00FE29D4"/>
    <w:rsid w:val="00FE4156"/>
    <w:rsid w:val="00FE468F"/>
    <w:rsid w:val="00FF4CAF"/>
    <w:rsid w:val="00FF55ED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ADFF"/>
  <w15:docId w15:val="{06D0C7C2-CD68-4AC8-B0D5-58004701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2637"/>
  </w:style>
  <w:style w:type="paragraph" w:styleId="Nadpis1">
    <w:name w:val="heading 1"/>
    <w:basedOn w:val="Normlny"/>
    <w:next w:val="Normlny"/>
    <w:link w:val="Nadpis1Char"/>
    <w:uiPriority w:val="9"/>
    <w:qFormat/>
    <w:rsid w:val="008C3DD8"/>
    <w:pPr>
      <w:keepNext/>
      <w:keepLines/>
      <w:numPr>
        <w:numId w:val="8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C3DD8"/>
    <w:pPr>
      <w:keepNext/>
      <w:keepLines/>
      <w:numPr>
        <w:ilvl w:val="1"/>
        <w:numId w:val="8"/>
      </w:numPr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01DE8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1DE8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01DE8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01DE8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01DE8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01DE8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01DE8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42637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F4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2637"/>
  </w:style>
  <w:style w:type="paragraph" w:styleId="Textbubliny">
    <w:name w:val="Balloon Text"/>
    <w:basedOn w:val="Normlny"/>
    <w:link w:val="TextbublinyChar"/>
    <w:uiPriority w:val="99"/>
    <w:semiHidden/>
    <w:unhideWhenUsed/>
    <w:rsid w:val="00F2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6D7E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C3DD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C3DD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01D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1DE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01DE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01DE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01DE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01D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01D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riadkovania">
    <w:name w:val="No Spacing"/>
    <w:uiPriority w:val="1"/>
    <w:qFormat/>
    <w:rsid w:val="00174E3E"/>
    <w:pPr>
      <w:spacing w:after="0" w:line="240" w:lineRule="auto"/>
    </w:pPr>
  </w:style>
  <w:style w:type="paragraph" w:customStyle="1" w:styleId="Pismenka">
    <w:name w:val="Pismenka"/>
    <w:basedOn w:val="Zkladntext"/>
    <w:rsid w:val="008749E4"/>
    <w:pPr>
      <w:tabs>
        <w:tab w:val="num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1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749E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74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4F016-A1BF-4505-86CC-FCAB4310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4697</Words>
  <Characters>26779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bartosovicova</dc:creator>
  <cp:lastModifiedBy>bartosovicova</cp:lastModifiedBy>
  <cp:revision>3</cp:revision>
  <cp:lastPrinted>2023-06-16T06:45:00Z</cp:lastPrinted>
  <dcterms:created xsi:type="dcterms:W3CDTF">2023-06-20T12:18:00Z</dcterms:created>
  <dcterms:modified xsi:type="dcterms:W3CDTF">2023-06-20T12:18:00Z</dcterms:modified>
</cp:coreProperties>
</file>