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347FC" w14:textId="77777777" w:rsidR="000D6691" w:rsidRDefault="000D6691" w:rsidP="008C0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Rozbor  hospodárenia</w:t>
      </w:r>
    </w:p>
    <w:p w14:paraId="3CDD3C54" w14:textId="3E555297" w:rsidR="000D6691" w:rsidRDefault="000D6691" w:rsidP="008C0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 31.12.20</w:t>
      </w:r>
      <w:r w:rsidR="0045146D">
        <w:rPr>
          <w:b/>
          <w:bCs/>
          <w:sz w:val="28"/>
          <w:szCs w:val="28"/>
        </w:rPr>
        <w:t>2</w:t>
      </w:r>
      <w:r w:rsidR="000F5CAA">
        <w:rPr>
          <w:b/>
          <w:bCs/>
          <w:sz w:val="28"/>
          <w:szCs w:val="28"/>
        </w:rPr>
        <w:t>2</w:t>
      </w:r>
    </w:p>
    <w:p w14:paraId="0E603BAF" w14:textId="77777777" w:rsidR="000D6691" w:rsidRDefault="000D6691" w:rsidP="008C0B07">
      <w:pPr>
        <w:pStyle w:val="Nadpis1"/>
        <w:jc w:val="left"/>
      </w:pPr>
    </w:p>
    <w:p w14:paraId="1CDE61E6" w14:textId="77777777" w:rsidR="000D6691" w:rsidRDefault="000D6691" w:rsidP="008C0B07">
      <w:pPr>
        <w:pStyle w:val="Nadpis1"/>
        <w:jc w:val="left"/>
      </w:pPr>
      <w:r>
        <w:t>Škola, RO: Základná škola J. C. Hronského, Krátka 2, Šaľa</w:t>
      </w:r>
    </w:p>
    <w:p w14:paraId="1A5E664F" w14:textId="77777777" w:rsidR="000D6691" w:rsidRDefault="000D6691" w:rsidP="008C0B07"/>
    <w:p w14:paraId="3287AF8E" w14:textId="77777777" w:rsidR="000D6691" w:rsidRDefault="000D6691" w:rsidP="008C0B07">
      <w:r>
        <w:rPr>
          <w:b/>
          <w:bCs/>
        </w:rPr>
        <w:t>Zriadená dňom:   1. 1. 2002</w:t>
      </w:r>
    </w:p>
    <w:p w14:paraId="1A669FAC" w14:textId="77777777" w:rsidR="000D6691" w:rsidRDefault="000D6691" w:rsidP="008C0B07">
      <w:pPr>
        <w:pStyle w:val="Nadpis1"/>
        <w:jc w:val="left"/>
      </w:pPr>
      <w:r>
        <w:rPr>
          <w:sz w:val="24"/>
          <w:szCs w:val="24"/>
        </w:rPr>
        <w:t>Zriaďovateľ:</w:t>
      </w:r>
      <w:r>
        <w:t xml:space="preserve">       Mesto Šaľa</w:t>
      </w:r>
    </w:p>
    <w:p w14:paraId="6E084F17" w14:textId="77777777" w:rsidR="000D6691" w:rsidRDefault="000D6691" w:rsidP="008C0B07">
      <w:r w:rsidRPr="002E7EDE">
        <w:rPr>
          <w:b/>
          <w:bCs/>
        </w:rPr>
        <w:t>Riaditeľ:</w:t>
      </w:r>
      <w:r>
        <w:t xml:space="preserve">               Mgr. </w:t>
      </w:r>
      <w:r w:rsidR="00057598">
        <w:t>Katarína Grznárová</w:t>
      </w:r>
    </w:p>
    <w:p w14:paraId="4FCF1BBE" w14:textId="77777777" w:rsidR="000D6691" w:rsidRDefault="000D6691" w:rsidP="008C0B07">
      <w:r w:rsidRPr="002E7EDE">
        <w:rPr>
          <w:b/>
          <w:bCs/>
        </w:rPr>
        <w:t>IČO:</w:t>
      </w:r>
      <w:r>
        <w:t xml:space="preserve">                      37861417</w:t>
      </w:r>
    </w:p>
    <w:p w14:paraId="57682190" w14:textId="77777777" w:rsidR="000D6691" w:rsidRDefault="000D6691" w:rsidP="008C0B07"/>
    <w:p w14:paraId="50DC6D79" w14:textId="627E8D01" w:rsidR="000D6691" w:rsidRPr="00555A6C" w:rsidRDefault="000D6691" w:rsidP="001364B7">
      <w:pPr>
        <w:tabs>
          <w:tab w:val="left" w:pos="4680"/>
        </w:tabs>
        <w:rPr>
          <w:highlight w:val="yellow"/>
        </w:rPr>
      </w:pPr>
      <w:r>
        <w:rPr>
          <w:b/>
          <w:bCs/>
        </w:rPr>
        <w:t xml:space="preserve">Počet zamestnancov </w:t>
      </w:r>
      <w:r>
        <w:t xml:space="preserve">-  pedagogických:             </w:t>
      </w:r>
      <w:r w:rsidR="008F14E0">
        <w:t xml:space="preserve"> </w:t>
      </w:r>
      <w:r w:rsidR="00057598">
        <w:t>4</w:t>
      </w:r>
      <w:r w:rsidR="00F219D5">
        <w:t>7</w:t>
      </w:r>
      <w:r w:rsidRPr="00555A6C">
        <w:rPr>
          <w:highlight w:val="yellow"/>
        </w:rPr>
        <w:t xml:space="preserve">          </w:t>
      </w:r>
    </w:p>
    <w:p w14:paraId="3360A4D5" w14:textId="77777777" w:rsidR="000D6691" w:rsidRPr="00BA0E77" w:rsidRDefault="000D6691" w:rsidP="00B90E79">
      <w:pPr>
        <w:tabs>
          <w:tab w:val="left" w:pos="4680"/>
        </w:tabs>
      </w:pPr>
      <w:r w:rsidRPr="00BA0E77">
        <w:t xml:space="preserve">/fyzický stav/        </w:t>
      </w:r>
      <w:r w:rsidR="008F14E0" w:rsidRPr="00BA0E77">
        <w:t xml:space="preserve">      - v školskom klube detí:</w:t>
      </w:r>
      <w:r w:rsidR="008F14E0" w:rsidRPr="00BA0E77">
        <w:tab/>
      </w:r>
      <w:r w:rsidR="00057598">
        <w:t>7</w:t>
      </w:r>
      <w:r w:rsidRPr="00BA0E77">
        <w:t xml:space="preserve"> </w:t>
      </w:r>
      <w:r w:rsidRPr="00BA0E77">
        <w:tab/>
        <w:t xml:space="preserve">       </w:t>
      </w:r>
    </w:p>
    <w:p w14:paraId="1DA04C1C" w14:textId="77777777" w:rsidR="000D6691" w:rsidRPr="00BA0E77" w:rsidRDefault="000D6691" w:rsidP="00B90E79">
      <w:pPr>
        <w:tabs>
          <w:tab w:val="left" w:pos="4680"/>
        </w:tabs>
      </w:pPr>
      <w:r w:rsidRPr="00BA0E77">
        <w:t xml:space="preserve">                                    -  nepedagogických: </w:t>
      </w:r>
      <w:r w:rsidRPr="00BA0E77">
        <w:tab/>
        <w:t xml:space="preserve">7               </w:t>
      </w:r>
    </w:p>
    <w:p w14:paraId="299481A6" w14:textId="77777777" w:rsidR="000D6691" w:rsidRDefault="000D6691" w:rsidP="00B90E79">
      <w:pPr>
        <w:pStyle w:val="Nadpis1"/>
        <w:tabs>
          <w:tab w:val="left" w:pos="4680"/>
        </w:tabs>
        <w:jc w:val="left"/>
        <w:rPr>
          <w:b w:val="0"/>
          <w:bCs w:val="0"/>
          <w:sz w:val="24"/>
          <w:szCs w:val="24"/>
        </w:rPr>
      </w:pPr>
      <w:r w:rsidRPr="00BA0E77">
        <w:t xml:space="preserve">                               </w:t>
      </w:r>
      <w:r w:rsidRPr="00BA0E77">
        <w:rPr>
          <w:b w:val="0"/>
          <w:bCs w:val="0"/>
          <w:sz w:val="24"/>
          <w:szCs w:val="24"/>
        </w:rPr>
        <w:t>-  v školskej jedálni:</w:t>
      </w:r>
      <w:r w:rsidRPr="00BA0E77">
        <w:rPr>
          <w:b w:val="0"/>
          <w:bCs w:val="0"/>
          <w:sz w:val="24"/>
          <w:szCs w:val="24"/>
        </w:rPr>
        <w:tab/>
      </w:r>
      <w:r w:rsidR="002E6D09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 xml:space="preserve">                 </w:t>
      </w:r>
    </w:p>
    <w:p w14:paraId="413E8EFA" w14:textId="77777777" w:rsidR="000D6691" w:rsidRDefault="000D6691" w:rsidP="008C0B07">
      <w:pPr>
        <w:pStyle w:val="Nadpis1"/>
        <w:jc w:val="left"/>
        <w:rPr>
          <w:b w:val="0"/>
          <w:bCs w:val="0"/>
          <w:sz w:val="24"/>
          <w:szCs w:val="24"/>
        </w:rPr>
      </w:pPr>
    </w:p>
    <w:p w14:paraId="17FFE636" w14:textId="44CBB5AC" w:rsidR="000D6691" w:rsidRDefault="000D6691" w:rsidP="00F21C3F">
      <w:pPr>
        <w:pStyle w:val="Nadpis1"/>
        <w:tabs>
          <w:tab w:val="left" w:pos="4680"/>
        </w:tabs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Počet tried/ žiakov                          :</w:t>
      </w:r>
      <w:r>
        <w:rPr>
          <w:b w:val="0"/>
          <w:bCs w:val="0"/>
          <w:sz w:val="24"/>
          <w:szCs w:val="24"/>
        </w:rPr>
        <w:tab/>
        <w:t>2</w:t>
      </w:r>
      <w:r w:rsidR="00311AA8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/</w:t>
      </w:r>
      <w:r w:rsidR="00057598">
        <w:rPr>
          <w:b w:val="0"/>
          <w:bCs w:val="0"/>
          <w:sz w:val="24"/>
          <w:szCs w:val="24"/>
        </w:rPr>
        <w:t>4</w:t>
      </w:r>
      <w:r w:rsidR="00311AA8">
        <w:rPr>
          <w:b w:val="0"/>
          <w:bCs w:val="0"/>
          <w:sz w:val="24"/>
          <w:szCs w:val="24"/>
        </w:rPr>
        <w:t>77</w:t>
      </w:r>
      <w:r>
        <w:rPr>
          <w:b w:val="0"/>
          <w:bCs w:val="0"/>
          <w:sz w:val="24"/>
          <w:szCs w:val="24"/>
        </w:rPr>
        <w:t xml:space="preserve">         </w:t>
      </w:r>
    </w:p>
    <w:p w14:paraId="4F2F73D7" w14:textId="4B430613" w:rsidR="000D6691" w:rsidRDefault="000D6691" w:rsidP="00F21C3F">
      <w:pPr>
        <w:pStyle w:val="Nadpis1"/>
        <w:tabs>
          <w:tab w:val="left" w:pos="4680"/>
        </w:tabs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Počet oddelení ŠKD/Počet žiakov   :          </w:t>
      </w:r>
      <w:r>
        <w:rPr>
          <w:b w:val="0"/>
          <w:bCs w:val="0"/>
          <w:sz w:val="24"/>
          <w:szCs w:val="24"/>
        </w:rPr>
        <w:tab/>
      </w:r>
      <w:r w:rsidR="00311AA8">
        <w:rPr>
          <w:b w:val="0"/>
          <w:bCs w:val="0"/>
          <w:sz w:val="24"/>
          <w:szCs w:val="24"/>
        </w:rPr>
        <w:t>9</w:t>
      </w:r>
      <w:r>
        <w:rPr>
          <w:b w:val="0"/>
          <w:bCs w:val="0"/>
          <w:sz w:val="24"/>
          <w:szCs w:val="24"/>
        </w:rPr>
        <w:t>/</w:t>
      </w:r>
      <w:r w:rsidR="00057598">
        <w:rPr>
          <w:b w:val="0"/>
          <w:bCs w:val="0"/>
          <w:sz w:val="24"/>
          <w:szCs w:val="24"/>
        </w:rPr>
        <w:t>19</w:t>
      </w:r>
      <w:r w:rsidR="00311AA8">
        <w:rPr>
          <w:b w:val="0"/>
          <w:bCs w:val="0"/>
          <w:sz w:val="24"/>
          <w:szCs w:val="24"/>
        </w:rPr>
        <w:t>9</w:t>
      </w:r>
    </w:p>
    <w:p w14:paraId="6A7BF138" w14:textId="77777777" w:rsidR="000D6691" w:rsidRPr="004B1E0B" w:rsidRDefault="000D6691" w:rsidP="00F21C3F">
      <w:pPr>
        <w:tabs>
          <w:tab w:val="left" w:pos="4680"/>
        </w:tabs>
      </w:pPr>
      <w:r>
        <w:t xml:space="preserve">Počet tried MŠ/počet detí                 :  </w:t>
      </w:r>
      <w:r>
        <w:tab/>
        <w:t>0/0</w:t>
      </w:r>
    </w:p>
    <w:p w14:paraId="2FE1E3B0" w14:textId="77777777" w:rsidR="000D6691" w:rsidRDefault="000D6691" w:rsidP="008C0B07"/>
    <w:p w14:paraId="07E89176" w14:textId="77777777" w:rsidR="000D6691" w:rsidRDefault="000D6691" w:rsidP="008C0B07">
      <w:pPr>
        <w:pStyle w:val="Nadpis1"/>
        <w:jc w:val="left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Účtovná metóda </w:t>
      </w:r>
      <w:r>
        <w:rPr>
          <w:b w:val="0"/>
          <w:bCs w:val="0"/>
          <w:sz w:val="24"/>
          <w:szCs w:val="24"/>
        </w:rPr>
        <w:t xml:space="preserve">– podvojné účtovníctvo – akruálne, používaný úč. Softvér je IBEU od firmy IVES Košice. </w:t>
      </w:r>
    </w:p>
    <w:p w14:paraId="00210A07" w14:textId="77777777" w:rsidR="000D6691" w:rsidRDefault="000D6691" w:rsidP="008C0B07">
      <w:pPr>
        <w:rPr>
          <w:b/>
          <w:bCs/>
        </w:rPr>
      </w:pPr>
    </w:p>
    <w:p w14:paraId="0E8A5DD3" w14:textId="77777777" w:rsidR="000D6691" w:rsidRDefault="000D6691" w:rsidP="008C0B07">
      <w:pPr>
        <w:rPr>
          <w:b/>
          <w:bCs/>
          <w:i/>
          <w:iCs/>
          <w:sz w:val="28"/>
          <w:szCs w:val="28"/>
        </w:rPr>
      </w:pPr>
      <w:r w:rsidRPr="003D7244">
        <w:rPr>
          <w:b/>
          <w:bCs/>
          <w:i/>
          <w:iCs/>
        </w:rPr>
        <w:t>Účtovná jednotka eviduje majetok</w:t>
      </w:r>
      <w:r>
        <w:rPr>
          <w:b/>
          <w:bCs/>
          <w:i/>
          <w:iCs/>
        </w:rPr>
        <w:t xml:space="preserve"> v správe</w:t>
      </w:r>
      <w:r w:rsidRPr="00974CA2">
        <w:rPr>
          <w:b/>
          <w:bCs/>
          <w:i/>
          <w:iCs/>
          <w:sz w:val="28"/>
          <w:szCs w:val="28"/>
        </w:rPr>
        <w:t>:</w:t>
      </w:r>
    </w:p>
    <w:tbl>
      <w:tblPr>
        <w:tblW w:w="5140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0"/>
        <w:gridCol w:w="1300"/>
      </w:tblGrid>
      <w:tr w:rsidR="000D6691" w:rsidRPr="003D7244" w14:paraId="0B09B191" w14:textId="77777777">
        <w:trPr>
          <w:trHeight w:val="282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E32BB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 w:rsidRPr="003D7244">
              <w:rPr>
                <w:color w:val="000000"/>
                <w:sz w:val="22"/>
                <w:szCs w:val="22"/>
                <w:lang w:eastAsia="sk-SK"/>
              </w:rPr>
              <w:t>Budovy, stavby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D184B" w14:textId="0C6B938D" w:rsidR="000D6691" w:rsidRPr="003D7244" w:rsidRDefault="00F219D5" w:rsidP="0045146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1 710 349,08</w:t>
            </w:r>
          </w:p>
        </w:tc>
      </w:tr>
      <w:tr w:rsidR="000D6691" w:rsidRPr="003D7244" w14:paraId="5AD60723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DC39F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 w:rsidRPr="003D7244">
              <w:rPr>
                <w:color w:val="000000"/>
                <w:sz w:val="22"/>
                <w:szCs w:val="22"/>
                <w:lang w:eastAsia="sk-SK"/>
              </w:rPr>
              <w:t>Stroje, prístroje, zariadenia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66A39" w14:textId="348267A1" w:rsidR="000D6691" w:rsidRPr="003D7244" w:rsidRDefault="00F219D5" w:rsidP="00C97F91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128 315,14</w:t>
            </w:r>
          </w:p>
        </w:tc>
      </w:tr>
      <w:tr w:rsidR="000D6691" w:rsidRPr="003D7244" w14:paraId="45153852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CC26C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Pozemky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B9AFA" w14:textId="77777777" w:rsidR="000D6691" w:rsidRDefault="001A32B3" w:rsidP="008C0B07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117 706,30</w:t>
            </w:r>
          </w:p>
        </w:tc>
      </w:tr>
      <w:tr w:rsidR="000D6691" w:rsidRPr="003D7244" w14:paraId="61D354EB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E70E9" w14:textId="77777777" w:rsidR="000D6691" w:rsidRPr="003D7244" w:rsidRDefault="0045146D" w:rsidP="0045146D">
            <w:pPr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Dr.</w:t>
            </w:r>
            <w:r w:rsidR="00053044">
              <w:rPr>
                <w:color w:val="000000"/>
                <w:sz w:val="22"/>
                <w:szCs w:val="22"/>
                <w:lang w:eastAsia="sk-SK"/>
              </w:rPr>
              <w:t>h</w:t>
            </w:r>
            <w:r w:rsidR="000D6691" w:rsidRPr="003D7244">
              <w:rPr>
                <w:color w:val="000000"/>
                <w:sz w:val="22"/>
                <w:szCs w:val="22"/>
                <w:lang w:eastAsia="sk-SK"/>
              </w:rPr>
              <w:t>motný majetok, UP</w:t>
            </w:r>
            <w:r w:rsidR="000D6691">
              <w:rPr>
                <w:color w:val="000000"/>
                <w:sz w:val="22"/>
                <w:szCs w:val="22"/>
                <w:lang w:eastAsia="sk-SK"/>
              </w:rPr>
              <w:t xml:space="preserve"> + nehmotný maj.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E93A7" w14:textId="74D9BCF1" w:rsidR="000D6691" w:rsidRPr="003D7244" w:rsidRDefault="00F219D5" w:rsidP="00552D67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345 213,61</w:t>
            </w:r>
          </w:p>
        </w:tc>
      </w:tr>
      <w:tr w:rsidR="000D6691" w:rsidRPr="003D7244" w14:paraId="25AD4570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DA0C1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Majetok v dlhodobej zápožičke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CB660" w14:textId="77777777" w:rsidR="000D6691" w:rsidRPr="003D7244" w:rsidRDefault="001A32B3" w:rsidP="008C0B07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33 403,23</w:t>
            </w:r>
          </w:p>
        </w:tc>
      </w:tr>
      <w:tr w:rsidR="000D6691" w:rsidRPr="003D7244" w14:paraId="319AFF98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D94E3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 w:rsidRPr="003D7244">
              <w:rPr>
                <w:color w:val="000000"/>
                <w:sz w:val="22"/>
                <w:szCs w:val="22"/>
                <w:lang w:eastAsia="sk-SK"/>
              </w:rPr>
              <w:t>Materiál OTE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5689C" w14:textId="41D0377F" w:rsidR="000D6691" w:rsidRPr="003D7244" w:rsidRDefault="008E54D7" w:rsidP="00572AEC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86 963,15</w:t>
            </w:r>
          </w:p>
        </w:tc>
      </w:tr>
    </w:tbl>
    <w:p w14:paraId="224C294F" w14:textId="77777777" w:rsidR="000D6691" w:rsidRDefault="000D6691" w:rsidP="008C0B07"/>
    <w:p w14:paraId="5ED9934A" w14:textId="30D25819" w:rsidR="003F0562" w:rsidRDefault="000D6691" w:rsidP="006F1236">
      <w:pPr>
        <w:jc w:val="both"/>
      </w:pPr>
      <w:r>
        <w:tab/>
      </w:r>
      <w:r w:rsidR="003F0562">
        <w:t>V roku 202</w:t>
      </w:r>
      <w:r w:rsidR="00A01FDD">
        <w:t>2</w:t>
      </w:r>
      <w:r w:rsidR="003F0562">
        <w:t xml:space="preserve"> </w:t>
      </w:r>
      <w:r w:rsidR="00A01FDD">
        <w:t>bola zrealizovaná ďalšia etapa</w:t>
      </w:r>
      <w:r w:rsidR="003F0562">
        <w:t xml:space="preserve"> rekonštrukci</w:t>
      </w:r>
      <w:r w:rsidR="00A01FDD">
        <w:t>e</w:t>
      </w:r>
      <w:r w:rsidR="003F0562">
        <w:t xml:space="preserve"> sociálnych zariaden</w:t>
      </w:r>
      <w:r w:rsidR="00553E32">
        <w:t>í</w:t>
      </w:r>
      <w:r w:rsidR="003F0562">
        <w:t xml:space="preserve"> pre žiakov v celkovej hodnote </w:t>
      </w:r>
      <w:r w:rsidR="00A01FDD">
        <w:t>34 647,17</w:t>
      </w:r>
      <w:r w:rsidR="003F0562">
        <w:t xml:space="preserve"> €. O túto sumu sa v dôsledku toho zvýšila hodnota budovy. Uvedená rekonštrukcia bola financovaná </w:t>
      </w:r>
      <w:r w:rsidR="00A01FDD">
        <w:t>našim zriaďovateľom a následne delimitovaná škole</w:t>
      </w:r>
      <w:r w:rsidR="003F0562">
        <w:t xml:space="preserve">. </w:t>
      </w:r>
    </w:p>
    <w:p w14:paraId="1EC43AA8" w14:textId="64257A81" w:rsidR="00A01FDD" w:rsidRDefault="00A01FDD" w:rsidP="006F1236">
      <w:pPr>
        <w:jc w:val="both"/>
      </w:pPr>
      <w:r>
        <w:tab/>
        <w:t>V sledovanom roku evidujeme tiež prírastky na súvahovom účte 022 – samostatné hnuteľné veci... v celkovej výške 4 462,80 €. Škola požiadala o preklasifikovanie finančných prostriedkov, získaných v rámci vlastných príjmov, z bežných na kapitálové výdavky. Toto nám zriaďovateľ schválil a následne bol z uvedených prostriedkov zakúpený kopírovací stroj a odsávač pár do školskej kuchyne.</w:t>
      </w:r>
    </w:p>
    <w:p w14:paraId="5BF464AF" w14:textId="59E1BB35" w:rsidR="0042568A" w:rsidRDefault="003F0562" w:rsidP="006F1236">
      <w:pPr>
        <w:jc w:val="both"/>
      </w:pPr>
      <w:r>
        <w:t xml:space="preserve">   </w:t>
      </w:r>
      <w:r w:rsidR="009C7B87">
        <w:t>V roku 20</w:t>
      </w:r>
      <w:r w:rsidR="00067A0D">
        <w:t>2</w:t>
      </w:r>
      <w:r w:rsidR="00244380">
        <w:t>2</w:t>
      </w:r>
      <w:r w:rsidR="009C7B87">
        <w:t xml:space="preserve"> škola zaradila do majetku vo svojej správe</w:t>
      </w:r>
      <w:r w:rsidR="00F45721">
        <w:t xml:space="preserve"> </w:t>
      </w:r>
      <w:r w:rsidR="00067A0D">
        <w:t>DHM</w:t>
      </w:r>
      <w:r w:rsidR="007A6C5E">
        <w:t xml:space="preserve"> a majetok v OTE</w:t>
      </w:r>
      <w:r w:rsidR="00067A0D">
        <w:t xml:space="preserve"> v</w:t>
      </w:r>
      <w:r w:rsidR="007A6C5E">
        <w:t xml:space="preserve"> hodnote</w:t>
      </w:r>
      <w:r w:rsidR="00067A0D">
        <w:t> </w:t>
      </w:r>
      <w:r w:rsidR="00244380">
        <w:t>26 037,24</w:t>
      </w:r>
      <w:r w:rsidR="00067A0D">
        <w:t xml:space="preserve"> €.</w:t>
      </w:r>
      <w:r w:rsidR="008D27EE">
        <w:t xml:space="preserve"> Z tejto sumy boli zaradené učebnice v hodnote </w:t>
      </w:r>
      <w:r w:rsidR="00244380">
        <w:t>16 107,70</w:t>
      </w:r>
      <w:r w:rsidR="008D27EE">
        <w:t xml:space="preserve"> €</w:t>
      </w:r>
      <w:r w:rsidR="00244380">
        <w:t xml:space="preserve"> (finančné krytie škola získala z účelovej osobitnej dotácie zo štátneho rozpočtu)</w:t>
      </w:r>
      <w:r w:rsidR="008D27EE">
        <w:t>.</w:t>
      </w:r>
      <w:r w:rsidR="00067A0D">
        <w:t xml:space="preserve"> Bol</w:t>
      </w:r>
      <w:r w:rsidR="00F93332">
        <w:t>o</w:t>
      </w:r>
      <w:r w:rsidR="008D27EE">
        <w:t xml:space="preserve"> tiež zaraden</w:t>
      </w:r>
      <w:r w:rsidR="00F93332">
        <w:t xml:space="preserve">ých </w:t>
      </w:r>
      <w:r w:rsidR="00244380">
        <w:t>5</w:t>
      </w:r>
      <w:r w:rsidR="008D27EE">
        <w:t xml:space="preserve"> ks </w:t>
      </w:r>
      <w:r w:rsidR="00F93332">
        <w:t>notebook</w:t>
      </w:r>
      <w:r w:rsidR="00244380">
        <w:t>ov</w:t>
      </w:r>
      <w:r w:rsidR="00F93332">
        <w:t xml:space="preserve">, </w:t>
      </w:r>
      <w:r w:rsidR="00244380">
        <w:t>4</w:t>
      </w:r>
      <w:r w:rsidR="00F93332">
        <w:t xml:space="preserve"> ks </w:t>
      </w:r>
      <w:r w:rsidR="00244380">
        <w:t>interiérových kamier</w:t>
      </w:r>
      <w:r w:rsidR="00F93332">
        <w:t xml:space="preserve">, </w:t>
      </w:r>
      <w:r w:rsidR="00244380">
        <w:t>3</w:t>
      </w:r>
      <w:r w:rsidR="00F93332">
        <w:t xml:space="preserve"> ks </w:t>
      </w:r>
      <w:r w:rsidR="00244380">
        <w:t>nábytkových zostáv</w:t>
      </w:r>
      <w:r w:rsidR="00F93332">
        <w:t xml:space="preserve">, </w:t>
      </w:r>
      <w:r w:rsidR="00244380">
        <w:t>vitrína na umiestnenie ocenení získaných žiakmi, 3</w:t>
      </w:r>
      <w:r w:rsidR="00F93332">
        <w:t xml:space="preserve"> ks </w:t>
      </w:r>
      <w:r w:rsidR="00244380">
        <w:t>ži</w:t>
      </w:r>
      <w:r w:rsidR="001858C6">
        <w:t>neniek</w:t>
      </w:r>
      <w:r w:rsidR="00F93332">
        <w:t xml:space="preserve">, </w:t>
      </w:r>
      <w:r w:rsidR="00A907D6">
        <w:t>3 ks stojanov na mapy, tlačiareň, leštič podláh Karcher, krájač na zemiaky do školskej kuchyne a iné učebné pomôcky. Do školskej jedálne pribudli v OTE taniere, príbory a poháre.</w:t>
      </w:r>
      <w:r w:rsidR="00AD58B4">
        <w:t xml:space="preserve"> Uvedený majetok škola zakúpila tak zo zdrojov získaných v rôznych projektoch, do ktorých sa zapojila, ako aj z vlastných príjmov a tiež osobitných dotácií a prideleného rozpočtu v rámci prenesených kompetencií.</w:t>
      </w:r>
    </w:p>
    <w:p w14:paraId="49C76F81" w14:textId="39567F35" w:rsidR="0042568A" w:rsidRDefault="000D6691" w:rsidP="006F1236">
      <w:pPr>
        <w:jc w:val="both"/>
      </w:pPr>
      <w:r>
        <w:lastRenderedPageBreak/>
        <w:tab/>
        <w:t>V priebehu roka 20</w:t>
      </w:r>
      <w:r w:rsidR="007A6C5E">
        <w:t>2</w:t>
      </w:r>
      <w:r w:rsidR="00A907D6">
        <w:t>2</w:t>
      </w:r>
      <w:r>
        <w:t xml:space="preserve"> bol vyradený majetok v správe školy vo výške </w:t>
      </w:r>
      <w:r w:rsidR="00A907D6">
        <w:t>17 751,26</w:t>
      </w:r>
      <w:r w:rsidR="0042568A">
        <w:t xml:space="preserve"> </w:t>
      </w:r>
      <w:r>
        <w:t>eur.</w:t>
      </w:r>
      <w:r w:rsidR="00300653">
        <w:t xml:space="preserve"> Škola vyradila </w:t>
      </w:r>
      <w:r w:rsidR="008D27EE">
        <w:t xml:space="preserve">učebnice v hodnote </w:t>
      </w:r>
      <w:r w:rsidR="00A907D6">
        <w:t>9 332,44</w:t>
      </w:r>
      <w:r w:rsidR="008D27EE">
        <w:t xml:space="preserve"> €, ktoré boli poškodené. Ďalej bol vyraden</w:t>
      </w:r>
      <w:r w:rsidR="001858C6">
        <w:t>ý</w:t>
      </w:r>
      <w:r w:rsidR="008D27EE">
        <w:t xml:space="preserve"> </w:t>
      </w:r>
      <w:r w:rsidR="00A907D6">
        <w:t xml:space="preserve">majetok v OTE v hodnote 7 831,17 € a DHM v sume 587,65 €. Boli to učebné </w:t>
      </w:r>
      <w:r w:rsidR="008D27EE">
        <w:t xml:space="preserve">pomôcky </w:t>
      </w:r>
      <w:r w:rsidR="00641944">
        <w:t>z</w:t>
      </w:r>
      <w:r w:rsidR="0042568A">
        <w:t> kabinetu BV</w:t>
      </w:r>
      <w:r w:rsidR="008D27EE">
        <w:t xml:space="preserve">, </w:t>
      </w:r>
      <w:r w:rsidR="00641944">
        <w:t xml:space="preserve">kabinetu CO, kabinetu roč. 3 – 4, počítačových učební, </w:t>
      </w:r>
      <w:r w:rsidR="008D27EE">
        <w:t>ktoré boli poškodené, nefunkčné, neop</w:t>
      </w:r>
      <w:r w:rsidR="0042568A">
        <w:t>raviteľné. Taktiež sa vyraďovali nábytkové skrine, ktoré boli poškodené.</w:t>
      </w:r>
      <w:r w:rsidR="00641944">
        <w:t xml:space="preserve"> Vyradili sa tiež vysávače, ktoré boli nefunkčné.</w:t>
      </w:r>
    </w:p>
    <w:p w14:paraId="030D9137" w14:textId="77777777" w:rsidR="000D6691" w:rsidRDefault="000D6691" w:rsidP="006F1236">
      <w:pPr>
        <w:jc w:val="both"/>
      </w:pPr>
      <w:r>
        <w:tab/>
        <w:t>Škola v</w:t>
      </w:r>
      <w:r w:rsidR="00553E32">
        <w:t>o</w:t>
      </w:r>
      <w:r>
        <w:t> svojej podsúvahovej evidencii eviduje aj dlhodobo zapožičaný majetok vo výške 33 403,23 eur. Ide konkrétne o výpočtovú techniku, ktorú škola do dlhodobej zápožičky získala z projektu „Elektronizácia vzdelávacieho systému regionálneho školstva“. Konkrétne sa jedná o 20 ks tabletov, interaktívnu tabuľu, notebook, wifi router a </w:t>
      </w:r>
      <w:r w:rsidR="00DE4833">
        <w:t>učebné pomôcky v rámci projektov, do ktorých sa škola úspešne zapojila</w:t>
      </w:r>
      <w:r>
        <w:t>.</w:t>
      </w:r>
    </w:p>
    <w:tbl>
      <w:tblPr>
        <w:tblW w:w="1369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7"/>
        <w:gridCol w:w="8496"/>
        <w:gridCol w:w="1734"/>
        <w:gridCol w:w="1360"/>
        <w:gridCol w:w="189"/>
        <w:gridCol w:w="1701"/>
      </w:tblGrid>
      <w:tr w:rsidR="000D6691" w:rsidRPr="00BA709C" w14:paraId="6709535F" w14:textId="77777777" w:rsidTr="0049656B">
        <w:trPr>
          <w:trHeight w:val="351"/>
        </w:trPr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D65517" w14:textId="77777777" w:rsidR="004C6D2A" w:rsidRDefault="000D6691" w:rsidP="008C0B07">
            <w:r>
              <w:t xml:space="preserve">  </w:t>
            </w:r>
          </w:p>
          <w:p w14:paraId="5D8B3C54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 xml:space="preserve">Prijaté dotácie </w:t>
            </w:r>
            <w:r w:rsidRPr="00317612"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 xml:space="preserve"> </w:t>
            </w:r>
            <w:r w:rsidRPr="003D7244">
              <w:rPr>
                <w:b/>
                <w:bCs/>
                <w:i/>
                <w:iCs/>
                <w:color w:val="000000"/>
                <w:lang w:eastAsia="sk-SK"/>
              </w:rPr>
              <w:t>za účtovnú jednotku</w:t>
            </w:r>
          </w:p>
          <w:p w14:paraId="41964ECA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3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466"/>
              <w:gridCol w:w="1640"/>
              <w:gridCol w:w="1640"/>
              <w:gridCol w:w="1640"/>
            </w:tblGrid>
            <w:tr w:rsidR="0049656B" w14:paraId="41174AE2" w14:textId="77777777" w:rsidTr="0049656B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5863A" w14:textId="77777777" w:rsidR="0049656B" w:rsidRDefault="0049656B" w:rsidP="0049656B">
                  <w:pPr>
                    <w:rPr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B1D8F" w14:textId="77777777" w:rsidR="0049656B" w:rsidRDefault="0049656B" w:rsidP="0049656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9E386" w14:textId="77777777" w:rsidR="0049656B" w:rsidRDefault="0049656B" w:rsidP="0049656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A5230" w14:textId="77777777" w:rsidR="0049656B" w:rsidRDefault="0049656B" w:rsidP="0049656B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FD25B" w14:textId="77777777" w:rsidR="0049656B" w:rsidRDefault="0049656B" w:rsidP="0049656B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5BB83" w14:textId="77777777" w:rsidR="0049656B" w:rsidRDefault="0049656B" w:rsidP="0049656B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49656B" w14:paraId="06CD1D1A" w14:textId="77777777" w:rsidTr="0049656B">
              <w:trPr>
                <w:trHeight w:val="300"/>
              </w:trPr>
              <w:tc>
                <w:tcPr>
                  <w:tcW w:w="33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0A614" w14:textId="77777777" w:rsidR="0049656B" w:rsidRDefault="0049656B" w:rsidP="0049656B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Celkom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02F45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1 573 242,26 €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25A62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1 455 939,72 €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82463C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117 302,54 € </w:t>
                  </w:r>
                </w:p>
              </w:tc>
            </w:tr>
            <w:tr w:rsidR="0049656B" w14:paraId="2037BC86" w14:textId="77777777" w:rsidTr="0049656B">
              <w:trPr>
                <w:trHeight w:val="300"/>
              </w:trPr>
              <w:tc>
                <w:tcPr>
                  <w:tcW w:w="33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E235DB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Prenesené kompetencie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8CA01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1 219 803,35 €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A7216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1 190 282,07 €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79B26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29 521,28 € </w:t>
                  </w:r>
                </w:p>
              </w:tc>
            </w:tr>
            <w:tr w:rsidR="0049656B" w14:paraId="0010B445" w14:textId="77777777" w:rsidTr="0049656B">
              <w:trPr>
                <w:trHeight w:val="288"/>
              </w:trPr>
              <w:tc>
                <w:tcPr>
                  <w:tcW w:w="1920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48319B" w14:textId="77777777" w:rsidR="0049656B" w:rsidRDefault="0049656B" w:rsidP="0049656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z toho</w:t>
                  </w:r>
                </w:p>
              </w:tc>
              <w:tc>
                <w:tcPr>
                  <w:tcW w:w="1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A3C162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normatívne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E774F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1 096 879,23 €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40012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1 051 151,00 €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37B60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45 728,23 € </w:t>
                  </w:r>
                </w:p>
              </w:tc>
            </w:tr>
            <w:tr w:rsidR="0049656B" w14:paraId="47574FB9" w14:textId="77777777" w:rsidTr="0049656B">
              <w:trPr>
                <w:trHeight w:val="288"/>
              </w:trPr>
              <w:tc>
                <w:tcPr>
                  <w:tcW w:w="1920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BE07CDB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22A379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osobitné dotácie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605C3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122 924,12 €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7FB81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106 131,07 €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F872C2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16 793,05 € </w:t>
                  </w:r>
                </w:p>
              </w:tc>
            </w:tr>
            <w:tr w:rsidR="0049656B" w14:paraId="31BB88C4" w14:textId="77777777" w:rsidTr="0049656B">
              <w:trPr>
                <w:trHeight w:val="300"/>
              </w:trPr>
              <w:tc>
                <w:tcPr>
                  <w:tcW w:w="1920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B9A3E7A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BB917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kapitálové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8A16A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5353A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33 000,00 €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7C41E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-      33 000,00 € </w:t>
                  </w:r>
                </w:p>
              </w:tc>
            </w:tr>
            <w:tr w:rsidR="0049656B" w14:paraId="4F14AA3C" w14:textId="77777777" w:rsidTr="0049656B">
              <w:trPr>
                <w:trHeight w:val="300"/>
              </w:trPr>
              <w:tc>
                <w:tcPr>
                  <w:tcW w:w="33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7AA731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Originálne kompetencie (PDFO)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6CAA10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206 720,00 €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5088D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203 560,00 €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E5C071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3 160,00 € </w:t>
                  </w:r>
                </w:p>
              </w:tc>
            </w:tr>
            <w:tr w:rsidR="0049656B" w14:paraId="709C2A6D" w14:textId="77777777" w:rsidTr="0049656B">
              <w:trPr>
                <w:trHeight w:val="288"/>
              </w:trPr>
              <w:tc>
                <w:tcPr>
                  <w:tcW w:w="1920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D3A207" w14:textId="77777777" w:rsidR="0049656B" w:rsidRDefault="0049656B" w:rsidP="0049656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z toho</w:t>
                  </w:r>
                </w:p>
              </w:tc>
              <w:tc>
                <w:tcPr>
                  <w:tcW w:w="1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FBC567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bežné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0D89B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206 720,00 €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2AA7E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202 261,97 €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238B19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4 458,03 € </w:t>
                  </w:r>
                </w:p>
              </w:tc>
            </w:tr>
            <w:tr w:rsidR="0049656B" w14:paraId="43C63BAF" w14:textId="77777777" w:rsidTr="0049656B">
              <w:trPr>
                <w:trHeight w:val="300"/>
              </w:trPr>
              <w:tc>
                <w:tcPr>
                  <w:tcW w:w="1920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2148A77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0BC3D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kapitálové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125529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5A0067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990,79 €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E48A8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-          990,79 € </w:t>
                  </w:r>
                </w:p>
              </w:tc>
            </w:tr>
            <w:tr w:rsidR="0049656B" w14:paraId="7D21CE74" w14:textId="77777777" w:rsidTr="0049656B">
              <w:trPr>
                <w:trHeight w:val="300"/>
              </w:trPr>
              <w:tc>
                <w:tcPr>
                  <w:tcW w:w="33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EC7C92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Vlastné príjmy – vrátené na použitie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73B844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146 718,91 €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0F0A1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62 097,65 €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C27DB" w14:textId="77777777" w:rsidR="0049656B" w:rsidRDefault="0049656B" w:rsidP="0049656B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84 621,26 € </w:t>
                  </w:r>
                </w:p>
              </w:tc>
            </w:tr>
            <w:tr w:rsidR="0049656B" w14:paraId="16BA47D6" w14:textId="77777777" w:rsidTr="0049656B">
              <w:trPr>
                <w:trHeight w:val="288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A2670" w14:textId="77777777" w:rsidR="0049656B" w:rsidRDefault="0049656B" w:rsidP="0049656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z toho</w:t>
                  </w:r>
                </w:p>
              </w:tc>
              <w:tc>
                <w:tcPr>
                  <w:tcW w:w="2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A1588C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na bežné výdavky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EE619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142 256,11 €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E34DC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47 097,65 €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EA55A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95 158,46 € </w:t>
                  </w:r>
                </w:p>
              </w:tc>
            </w:tr>
            <w:tr w:rsidR="0049656B" w14:paraId="00A3553F" w14:textId="77777777" w:rsidTr="0049656B">
              <w:trPr>
                <w:trHeight w:val="561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2A3EE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42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378400" w14:textId="77777777" w:rsidR="0049656B" w:rsidRDefault="0049656B" w:rsidP="0049656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na kapitálové výdavky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FEA16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4 462,80 €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43205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15 000,00 €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FD676" w14:textId="77777777" w:rsidR="0049656B" w:rsidRDefault="0049656B" w:rsidP="0049656B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-      10 537,20 € </w:t>
                  </w:r>
                </w:p>
              </w:tc>
            </w:tr>
          </w:tbl>
          <w:p w14:paraId="587E1387" w14:textId="77777777" w:rsidR="00192342" w:rsidRDefault="00192342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p w14:paraId="6510423F" w14:textId="77777777" w:rsidR="00B55C68" w:rsidRDefault="00B55C68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lang w:eastAsia="sk-SK"/>
              </w:rPr>
              <w:t>Rozpis osobitných dotácií, zahrnutých v tabuľke vyššie:</w:t>
            </w:r>
          </w:p>
          <w:tbl>
            <w:tblPr>
              <w:tblW w:w="835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40"/>
              <w:gridCol w:w="1640"/>
              <w:gridCol w:w="1640"/>
              <w:gridCol w:w="1739"/>
            </w:tblGrid>
            <w:tr w:rsidR="00192342" w14:paraId="645E2DC7" w14:textId="77777777" w:rsidTr="00192342">
              <w:trPr>
                <w:trHeight w:val="300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0F438" w14:textId="77777777" w:rsidR="00192342" w:rsidRDefault="00192342" w:rsidP="00192342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Osobitné dotácie zo ŠR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5B886" w14:textId="77777777" w:rsidR="00192342" w:rsidRDefault="00192342" w:rsidP="0019234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E4BEA7" w14:textId="77777777" w:rsidR="00192342" w:rsidRDefault="00192342" w:rsidP="0019234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2DB92" w14:textId="77777777" w:rsidR="00192342" w:rsidRDefault="00192342" w:rsidP="0019234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192342" w14:paraId="51099464" w14:textId="77777777" w:rsidTr="00192342">
              <w:trPr>
                <w:trHeight w:val="300"/>
              </w:trPr>
              <w:tc>
                <w:tcPr>
                  <w:tcW w:w="33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0F1EE9" w14:textId="77777777" w:rsidR="00192342" w:rsidRDefault="00192342" w:rsidP="0019234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218E89" w14:textId="77777777" w:rsidR="00192342" w:rsidRDefault="00192342" w:rsidP="0019234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122 924,12 €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5F8F6" w14:textId="77777777" w:rsidR="00192342" w:rsidRDefault="00192342" w:rsidP="0019234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106 131,07 € </w:t>
                  </w:r>
                </w:p>
              </w:tc>
              <w:tc>
                <w:tcPr>
                  <w:tcW w:w="173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0CAB05" w14:textId="77777777" w:rsidR="00192342" w:rsidRDefault="00192342" w:rsidP="0019234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16 793,05 € </w:t>
                  </w:r>
                </w:p>
              </w:tc>
            </w:tr>
            <w:tr w:rsidR="00192342" w14:paraId="3E1733B6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E954B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Cestovné - dochádzajúci žiaci (640)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25DB3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9 294,28 €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174D1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4 147,47 € 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B5921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5 146,81 € </w:t>
                  </w:r>
                </w:p>
              </w:tc>
            </w:tr>
            <w:tr w:rsidR="00192342" w14:paraId="3DA2E5B2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7961A" w14:textId="359FC9C0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Stravné </w:t>
                  </w:r>
                  <w:r w:rsidR="009F1188">
                    <w:rPr>
                      <w:color w:val="000000"/>
                      <w:sz w:val="22"/>
                      <w:szCs w:val="22"/>
                    </w:rPr>
                    <w:t>+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zos.na materiál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613C6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152,64 €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172D6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26 397,20 €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3F68C4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26 244,56 € </w:t>
                  </w:r>
                </w:p>
              </w:tc>
            </w:tr>
            <w:tr w:rsidR="00192342" w14:paraId="68B49B56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2A3E0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Školské potreby (FK 1040)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65836B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116,20 €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F7ECF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66,40 €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083FF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49,80 € </w:t>
                  </w:r>
                </w:p>
              </w:tc>
            </w:tr>
            <w:tr w:rsidR="00192342" w14:paraId="64178BDE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B819F1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Vzdelávacie poukazy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81B5F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8 538,00 €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CF1036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8 301,00 €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DB578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237,00 € </w:t>
                  </w:r>
                </w:p>
              </w:tc>
            </w:tr>
            <w:tr w:rsidR="00192342" w14:paraId="67CAEF75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5DA43A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Asistenti učiteľa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24A72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49 512,00 €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EB72E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48 768,00 €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6294B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744,00 € </w:t>
                  </w:r>
                </w:p>
              </w:tc>
            </w:tr>
            <w:tr w:rsidR="00192342" w14:paraId="09664B8A" w14:textId="77777777" w:rsidTr="00192342">
              <w:trPr>
                <w:trHeight w:val="510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14F74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Vybavenie pre žiakov zo soc.znevýhodneného prost.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620589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250,00 €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7B1DED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200,00 €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8000A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50,00 € </w:t>
                  </w:r>
                </w:p>
              </w:tc>
            </w:tr>
            <w:tr w:rsidR="00192342" w14:paraId="29C3096E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CA0AF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Lyžiarsky kurz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5D3237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6 150,00 €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C3D41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68ED9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6 150,00 € </w:t>
                  </w:r>
                </w:p>
              </w:tc>
            </w:tr>
            <w:tr w:rsidR="00192342" w14:paraId="7AB6B42B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D86B8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Pobyt v škole v prírode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61ECE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7 600,00 €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89621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47343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7 600,00 € </w:t>
                  </w:r>
                </w:p>
              </w:tc>
            </w:tr>
            <w:tr w:rsidR="00192342" w14:paraId="1BFA33C6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AC5DD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Špecifiká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58D05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23 746,00 €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FDB93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4 210,00 €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75951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19 536,00 € </w:t>
                  </w:r>
                </w:p>
              </w:tc>
            </w:tr>
            <w:tr w:rsidR="00192342" w14:paraId="2C2A8EE9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0E102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Proj. "Spolu múdrejší"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E4FEC3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E7467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3 000,00 €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946D1B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3 000,00 € </w:t>
                  </w:r>
                </w:p>
              </w:tc>
            </w:tr>
            <w:tr w:rsidR="00192342" w14:paraId="6BC4A729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93BE9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Digitalizácia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3C4D7D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560FE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2 000,00 €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6CD09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2 000,00 € </w:t>
                  </w:r>
                </w:p>
              </w:tc>
            </w:tr>
            <w:tr w:rsidR="00192342" w14:paraId="6BC504FD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4DC860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Proj. "Čítajme radi"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D0E13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1CAD6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400,00 €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F6F13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400,00 € </w:t>
                  </w:r>
                </w:p>
              </w:tc>
            </w:tr>
            <w:tr w:rsidR="00192342" w14:paraId="26466010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5D5CFE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Učebnice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53226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16 173,00 €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1A649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8 641,00 €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F5157F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7 532,00 € </w:t>
                  </w:r>
                </w:p>
              </w:tc>
            </w:tr>
            <w:tr w:rsidR="00192342" w14:paraId="38DF6DF1" w14:textId="77777777" w:rsidTr="00192342">
              <w:trPr>
                <w:trHeight w:val="288"/>
              </w:trPr>
              <w:tc>
                <w:tcPr>
                  <w:tcW w:w="3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FFEC1" w14:textId="77777777" w:rsidR="00192342" w:rsidRDefault="00192342" w:rsidP="0019234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Odchodné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D341D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1 392,00 €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051C11" w14:textId="77777777" w:rsidR="00192342" w:rsidRDefault="00192342" w:rsidP="0019234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2A8B7" w14:textId="77777777" w:rsidR="00192342" w:rsidRDefault="00192342" w:rsidP="0019234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1 392,00 € </w:t>
                  </w:r>
                </w:p>
              </w:tc>
            </w:tr>
          </w:tbl>
          <w:p w14:paraId="7A2ABB8B" w14:textId="29772396" w:rsidR="00192342" w:rsidRPr="009F1188" w:rsidRDefault="00192342" w:rsidP="008C0B07">
            <w:pPr>
              <w:rPr>
                <w:color w:val="000000"/>
                <w:sz w:val="22"/>
                <w:szCs w:val="22"/>
                <w:lang w:eastAsia="sk-SK"/>
              </w:rPr>
            </w:pPr>
          </w:p>
          <w:p w14:paraId="5118AEE9" w14:textId="4BBCF440" w:rsidR="00192342" w:rsidRDefault="000E06A9" w:rsidP="009F11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</w:t>
            </w:r>
            <w:r w:rsidR="009F1188">
              <w:rPr>
                <w:sz w:val="22"/>
                <w:szCs w:val="22"/>
              </w:rPr>
              <w:t>Škola v porovnaní s rokom 2021 dostala viac finančných prostriedkov tak v rámci financovania preneseného výkonu samosprávy, ako aj na financovanie osobitných dotácií. Rozdiel -33 000 € vznikov z dôvodu, že v roku 2021 nám boli pridelené finančné prostriedky na kapitálové výdavky, čo sa v roku 2022 nezopakovalo. Nakoľko sa v roku 2022 zmenil spôsob poskytovania dotácie na stravovanie žiakov, v tejto časti škola tiež obdržala a následne i použila menej finančných prostriedkov, konkrétne o 26 244,56 €.</w:t>
            </w:r>
            <w:r w:rsidR="008F12F0">
              <w:rPr>
                <w:sz w:val="22"/>
                <w:szCs w:val="22"/>
              </w:rPr>
              <w:t xml:space="preserve"> V roku 2022 škola organizovala pre našich žiakov aj pobyty detí v škole v prírode a lyžiarsky kurz, čo sa r roku 2021 neuskutočnilo z dôvodu neistej situácie v súvislosti s pandemickými opatreniami. Nárast dotačných finančných prostriedkov vidíme i pri osobitnej dotácii na špecifiká, ktorej použitie bolo účelovo viazané jednak na zakúpenie učebných a didaktickým pomôcok pre žiakov, ako aj na financovanie energií. Viac finančných prostriedkov škola dostala aj na zakúpenie učebníc.</w:t>
            </w:r>
          </w:p>
          <w:p w14:paraId="1DAACAE5" w14:textId="22E6CDB7" w:rsidR="00192342" w:rsidRDefault="000E06A9" w:rsidP="009F11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92342" w:rsidRPr="00192342">
              <w:rPr>
                <w:sz w:val="22"/>
                <w:szCs w:val="22"/>
              </w:rPr>
              <w:t>Môžeme konštatovať, že na financovanie výkonu VS v rámci originálnych kompetencií, t. j. dotácia na ŠJ a ŠKD bola v porovnaní s rokom 202</w:t>
            </w:r>
            <w:r w:rsidR="008F12F0">
              <w:rPr>
                <w:sz w:val="22"/>
                <w:szCs w:val="22"/>
              </w:rPr>
              <w:t>1</w:t>
            </w:r>
            <w:r w:rsidR="00192342" w:rsidRPr="00192342">
              <w:rPr>
                <w:sz w:val="22"/>
                <w:szCs w:val="22"/>
              </w:rPr>
              <w:t xml:space="preserve"> </w:t>
            </w:r>
            <w:r w:rsidR="008F12F0">
              <w:rPr>
                <w:sz w:val="22"/>
                <w:szCs w:val="22"/>
              </w:rPr>
              <w:t>približne vo výške predchádzajúceho rozpočtového roka. Škole bolo pridelených v rámci rozpočtu OK viac o 3 160 €.</w:t>
            </w:r>
          </w:p>
          <w:p w14:paraId="0719530D" w14:textId="7C951ED5" w:rsidR="000E06A9" w:rsidRPr="00192342" w:rsidRDefault="000E06A9" w:rsidP="009F11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Nárast vidíme i v časti získaných vlastných príjmov, z ktorých veľkú časť tvorili príjmy na financovanie projektu POP – asistenti učiteľa. </w:t>
            </w:r>
          </w:p>
          <w:p w14:paraId="3C36762E" w14:textId="77777777" w:rsidR="00192342" w:rsidRDefault="00192342" w:rsidP="00192342">
            <w:pPr>
              <w:jc w:val="both"/>
            </w:pPr>
          </w:p>
          <w:p w14:paraId="5A9D0915" w14:textId="3113166D" w:rsidR="00192342" w:rsidRDefault="00192342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p w14:paraId="26352BC0" w14:textId="77777777" w:rsidR="000D6691" w:rsidRPr="003D7244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 w:rsidRPr="00707286"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>Výdavky</w:t>
            </w:r>
            <w:r w:rsidRPr="003D7244">
              <w:rPr>
                <w:b/>
                <w:bCs/>
                <w:i/>
                <w:iCs/>
                <w:color w:val="000000"/>
                <w:lang w:eastAsia="sk-SK"/>
              </w:rPr>
              <w:t xml:space="preserve"> za účtovnú jednotku</w:t>
            </w:r>
          </w:p>
          <w:p w14:paraId="60DC1D8B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36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420"/>
              <w:gridCol w:w="1640"/>
              <w:gridCol w:w="1640"/>
              <w:gridCol w:w="1744"/>
            </w:tblGrid>
            <w:tr w:rsidR="000E06A9" w14:paraId="0C6D267F" w14:textId="77777777" w:rsidTr="000E06A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F2C6CA" w14:textId="77777777" w:rsidR="000E06A9" w:rsidRDefault="000E06A9" w:rsidP="000E06A9">
                  <w:pPr>
                    <w:rPr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100A2" w14:textId="77777777" w:rsidR="000E06A9" w:rsidRDefault="000E06A9" w:rsidP="000E06A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22B1C" w14:textId="77777777" w:rsidR="000E06A9" w:rsidRDefault="000E06A9" w:rsidP="000E06A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C8600" w14:textId="77777777" w:rsidR="000E06A9" w:rsidRDefault="000E06A9" w:rsidP="000E06A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D63A6" w14:textId="77777777" w:rsidR="000E06A9" w:rsidRDefault="000E06A9" w:rsidP="000E06A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4B33E" w14:textId="77777777" w:rsidR="000E06A9" w:rsidRDefault="000E06A9" w:rsidP="000E06A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0E06A9" w14:paraId="3E84692F" w14:textId="77777777" w:rsidTr="000E06A9">
              <w:trPr>
                <w:trHeight w:val="300"/>
              </w:trPr>
              <w:tc>
                <w:tcPr>
                  <w:tcW w:w="33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6A88DD" w14:textId="77777777" w:rsidR="000E06A9" w:rsidRDefault="000E06A9" w:rsidP="000E06A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bežné výdavky (600)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15F00" w14:textId="77777777" w:rsidR="000E06A9" w:rsidRDefault="000E06A9" w:rsidP="000E06A9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1 568 779,46 €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765F3D" w14:textId="77777777" w:rsidR="000E06A9" w:rsidRDefault="000E06A9" w:rsidP="000E06A9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1 406 641,72 € </w:t>
                  </w:r>
                </w:p>
              </w:tc>
              <w:tc>
                <w:tcPr>
                  <w:tcW w:w="1744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071A3" w14:textId="77777777" w:rsidR="000E06A9" w:rsidRDefault="000E06A9" w:rsidP="000E06A9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162 137,74 € </w:t>
                  </w:r>
                </w:p>
              </w:tc>
            </w:tr>
            <w:tr w:rsidR="000E06A9" w14:paraId="4A082B79" w14:textId="77777777" w:rsidTr="000E06A9">
              <w:trPr>
                <w:trHeight w:val="288"/>
              </w:trPr>
              <w:tc>
                <w:tcPr>
                  <w:tcW w:w="334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40A49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610 - mzdy, platy...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B8709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982 779,85 €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82922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856 772,83 € 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1EAE0F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126 007,02 € </w:t>
                  </w:r>
                </w:p>
              </w:tc>
            </w:tr>
            <w:tr w:rsidR="000E06A9" w14:paraId="73850D83" w14:textId="77777777" w:rsidTr="000E06A9">
              <w:trPr>
                <w:trHeight w:val="288"/>
              </w:trPr>
              <w:tc>
                <w:tcPr>
                  <w:tcW w:w="33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78B060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620 - poistné a prís. do pois.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33089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352 387,28 €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9D38F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305 286,30 € 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75DBFA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47 100,98 € </w:t>
                  </w:r>
                </w:p>
              </w:tc>
            </w:tr>
            <w:tr w:rsidR="000E06A9" w14:paraId="6FE7FA97" w14:textId="77777777" w:rsidTr="000E06A9">
              <w:trPr>
                <w:trHeight w:val="288"/>
              </w:trPr>
              <w:tc>
                <w:tcPr>
                  <w:tcW w:w="33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6458FE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630 - tovary a služby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B6F298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210 435,25 €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5A7C1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214 223,19 € 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17EBD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3 787,94 € </w:t>
                  </w:r>
                </w:p>
              </w:tc>
            </w:tr>
            <w:tr w:rsidR="000E06A9" w14:paraId="31EA4FE2" w14:textId="77777777" w:rsidTr="000E06A9">
              <w:trPr>
                <w:trHeight w:val="288"/>
              </w:trPr>
              <w:tc>
                <w:tcPr>
                  <w:tcW w:w="33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855C35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640 - bežné transfery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F1FB7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23 177,08 €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08DBD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30 359,40 € 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AA78D6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7 182,32 € </w:t>
                  </w:r>
                </w:p>
              </w:tc>
            </w:tr>
            <w:tr w:rsidR="000E06A9" w14:paraId="6CBEDC80" w14:textId="77777777" w:rsidTr="000E06A9">
              <w:trPr>
                <w:trHeight w:val="300"/>
              </w:trPr>
              <w:tc>
                <w:tcPr>
                  <w:tcW w:w="33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7560A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C754F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AD099B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631BD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E06A9" w14:paraId="5D5E85CE" w14:textId="77777777" w:rsidTr="000E06A9">
              <w:trPr>
                <w:trHeight w:val="300"/>
              </w:trPr>
              <w:tc>
                <w:tcPr>
                  <w:tcW w:w="33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E0738" w14:textId="77777777" w:rsidR="000E06A9" w:rsidRDefault="000E06A9" w:rsidP="000E06A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Kapitálové výdavky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7DEC4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4 462,80 € </w:t>
                  </w:r>
                </w:p>
              </w:tc>
              <w:tc>
                <w:tcPr>
                  <w:tcW w:w="16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9BC93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48 990,76 € 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43629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44 527,96 € </w:t>
                  </w:r>
                </w:p>
              </w:tc>
            </w:tr>
            <w:tr w:rsidR="000E06A9" w14:paraId="029925AF" w14:textId="77777777" w:rsidTr="000E06A9">
              <w:trPr>
                <w:trHeight w:val="300"/>
              </w:trPr>
              <w:tc>
                <w:tcPr>
                  <w:tcW w:w="33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0118C" w14:textId="77777777" w:rsidR="000E06A9" w:rsidRDefault="000E06A9" w:rsidP="000E06A9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Celkom bežné + kapitálové výd.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DD5F1" w14:textId="77777777" w:rsidR="000E06A9" w:rsidRDefault="000E06A9" w:rsidP="000E06A9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  1 573 242,26 €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54D3A" w14:textId="77777777" w:rsidR="000E06A9" w:rsidRDefault="000E06A9" w:rsidP="000E06A9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  1 455 632,48 € 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07946" w14:textId="77777777" w:rsidR="000E06A9" w:rsidRDefault="000E06A9" w:rsidP="000E06A9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     117 609,78 € </w:t>
                  </w:r>
                </w:p>
              </w:tc>
            </w:tr>
          </w:tbl>
          <w:p w14:paraId="058762AD" w14:textId="77777777" w:rsidR="000D6691" w:rsidRPr="003D7244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2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E143B1" w14:textId="77777777" w:rsidR="000D6691" w:rsidRPr="00BA709C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EA3A9" w14:textId="77777777" w:rsidR="000D6691" w:rsidRPr="00BA709C" w:rsidRDefault="000D6691" w:rsidP="008C0B07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0D6691" w:rsidRPr="00426FBC" w14:paraId="7968BB19" w14:textId="77777777" w:rsidTr="0049656B">
        <w:trPr>
          <w:gridBefore w:val="1"/>
          <w:gridAfter w:val="2"/>
          <w:wBefore w:w="217" w:type="dxa"/>
          <w:wAfter w:w="1890" w:type="dxa"/>
          <w:trHeight w:val="300"/>
        </w:trPr>
        <w:tc>
          <w:tcPr>
            <w:tcW w:w="102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75FDA8" w14:textId="6FAD2621" w:rsidR="000D6691" w:rsidRDefault="00553E32" w:rsidP="00192342">
            <w:pPr>
              <w:ind w:right="1025"/>
              <w:jc w:val="both"/>
            </w:pPr>
            <w:r>
              <w:rPr>
                <w:sz w:val="22"/>
                <w:szCs w:val="22"/>
              </w:rPr>
              <w:t xml:space="preserve">     </w:t>
            </w:r>
          </w:p>
          <w:p w14:paraId="6191029A" w14:textId="77777777" w:rsidR="00283DBD" w:rsidRDefault="00283DBD" w:rsidP="001A12AD">
            <w:pPr>
              <w:jc w:val="both"/>
            </w:pPr>
          </w:p>
          <w:tbl>
            <w:tblPr>
              <w:tblW w:w="49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3630"/>
              <w:gridCol w:w="1290"/>
            </w:tblGrid>
            <w:tr w:rsidR="000D6691" w:rsidRPr="00707286" w14:paraId="67E97F48" w14:textId="77777777">
              <w:trPr>
                <w:trHeight w:val="437"/>
              </w:trPr>
              <w:tc>
                <w:tcPr>
                  <w:tcW w:w="363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31DAF6E" w14:textId="77777777" w:rsidR="000D6691" w:rsidRPr="00707286" w:rsidRDefault="000D6691" w:rsidP="008C0B07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07286">
                    <w:rPr>
                      <w:b/>
                      <w:bCs/>
                      <w:color w:val="000000"/>
                      <w:lang w:eastAsia="sk-SK"/>
                    </w:rPr>
                    <w:t>Z</w:t>
                  </w:r>
                  <w:r>
                    <w:rPr>
                      <w:b/>
                      <w:bCs/>
                      <w:color w:val="000000"/>
                      <w:lang w:eastAsia="sk-SK"/>
                    </w:rPr>
                    <w:t> </w:t>
                  </w:r>
                  <w:r w:rsidRPr="00707286">
                    <w:rPr>
                      <w:b/>
                      <w:bCs/>
                      <w:color w:val="000000"/>
                      <w:lang w:eastAsia="sk-SK"/>
                    </w:rPr>
                    <w:t>toho</w:t>
                  </w:r>
                  <w:r>
                    <w:rPr>
                      <w:b/>
                      <w:bCs/>
                      <w:color w:val="000000"/>
                      <w:lang w:eastAsia="sk-SK"/>
                    </w:rPr>
                    <w:t xml:space="preserve"> čerpané:</w:t>
                  </w:r>
                </w:p>
                <w:p w14:paraId="74DFCE7F" w14:textId="77777777" w:rsidR="000D6691" w:rsidRPr="00707286" w:rsidRDefault="000D6691" w:rsidP="008C0B07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901DF8A" w14:textId="77777777" w:rsidR="000D6691" w:rsidRPr="00707286" w:rsidRDefault="000D6691" w:rsidP="008C0B07">
                  <w:pPr>
                    <w:rPr>
                      <w:color w:val="000000"/>
                      <w:lang w:eastAsia="sk-SK"/>
                    </w:rPr>
                  </w:pPr>
                </w:p>
              </w:tc>
            </w:tr>
          </w:tbl>
          <w:p w14:paraId="03C4D84F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 w:rsidRPr="00707286">
              <w:rPr>
                <w:b/>
                <w:bCs/>
                <w:i/>
                <w:iCs/>
                <w:color w:val="000000"/>
                <w:lang w:eastAsia="sk-SK"/>
              </w:rPr>
              <w:t>Prenesené kompetencie – dotácie zo štátneho rozpočtu</w:t>
            </w:r>
            <w:r w:rsidR="00F904C4">
              <w:rPr>
                <w:b/>
                <w:bCs/>
                <w:i/>
                <w:iCs/>
                <w:color w:val="000000"/>
                <w:lang w:eastAsia="sk-SK"/>
              </w:rPr>
              <w:t>, vrátane osobitných dotácií</w:t>
            </w:r>
            <w:r w:rsidRPr="00707286">
              <w:rPr>
                <w:b/>
                <w:bCs/>
                <w:i/>
                <w:iCs/>
                <w:color w:val="000000"/>
                <w:lang w:eastAsia="sk-SK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lang w:eastAsia="sk-SK"/>
              </w:rPr>
              <w:t xml:space="preserve"> </w:t>
            </w:r>
            <w:r w:rsidR="003654D5">
              <w:rPr>
                <w:b/>
                <w:bCs/>
                <w:i/>
                <w:iCs/>
                <w:color w:val="000000"/>
                <w:lang w:eastAsia="sk-SK"/>
              </w:rPr>
              <w:t>(asistenti učiteľa, vzdelávacie poukazy</w:t>
            </w:r>
            <w:r w:rsidR="00557988">
              <w:rPr>
                <w:b/>
                <w:bCs/>
                <w:i/>
                <w:iCs/>
                <w:color w:val="000000"/>
                <w:lang w:eastAsia="sk-SK"/>
              </w:rPr>
              <w:t>...</w:t>
            </w:r>
            <w:r w:rsidR="003654D5">
              <w:rPr>
                <w:b/>
                <w:bCs/>
                <w:i/>
                <w:iCs/>
                <w:color w:val="000000"/>
                <w:lang w:eastAsia="sk-SK"/>
              </w:rPr>
              <w:t>).</w:t>
            </w:r>
          </w:p>
          <w:p w14:paraId="31AAF86F" w14:textId="77777777" w:rsidR="0091423F" w:rsidRDefault="0091423F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420"/>
              <w:gridCol w:w="1831"/>
              <w:gridCol w:w="1701"/>
              <w:gridCol w:w="1701"/>
            </w:tblGrid>
            <w:tr w:rsidR="000E06A9" w14:paraId="3CF36D0C" w14:textId="77777777" w:rsidTr="001858C6">
              <w:trPr>
                <w:trHeight w:val="336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25932" w14:textId="77777777" w:rsidR="000E06A9" w:rsidRDefault="000E06A9" w:rsidP="000E06A9">
                  <w:pPr>
                    <w:rPr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4B912" w14:textId="77777777" w:rsidR="000E06A9" w:rsidRDefault="000E06A9" w:rsidP="000E06A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C9C37" w14:textId="77777777" w:rsidR="000E06A9" w:rsidRDefault="000E06A9" w:rsidP="000E06A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1B810" w14:textId="77777777" w:rsidR="000E06A9" w:rsidRDefault="000E06A9" w:rsidP="000E06A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EE0C4" w14:textId="77777777" w:rsidR="000E06A9" w:rsidRDefault="000E06A9" w:rsidP="000E06A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41A212" w14:textId="77777777" w:rsidR="000E06A9" w:rsidRDefault="000E06A9" w:rsidP="000E06A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0E06A9" w14:paraId="2B1A71AE" w14:textId="77777777" w:rsidTr="001858C6">
              <w:trPr>
                <w:trHeight w:val="549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B3D66" w14:textId="77777777" w:rsidR="000E06A9" w:rsidRDefault="000E06A9" w:rsidP="000E06A9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Položka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5F5C4F" w14:textId="77777777" w:rsidR="000E06A9" w:rsidRDefault="000E06A9" w:rsidP="000E06A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Osobné náklady celkom, vrátane osobitných dot.</w:t>
                  </w:r>
                </w:p>
              </w:tc>
              <w:tc>
                <w:tcPr>
                  <w:tcW w:w="18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264E58B" w14:textId="77777777" w:rsidR="000E06A9" w:rsidRDefault="000E06A9" w:rsidP="000E06A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1 059 067,82 €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3C6CABB" w14:textId="77777777" w:rsidR="000E06A9" w:rsidRDefault="000E06A9" w:rsidP="000E06A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955 384,24 €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C5C46F1" w14:textId="77777777" w:rsidR="000E06A9" w:rsidRDefault="000E06A9" w:rsidP="000E06A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103 683,58 € </w:t>
                  </w:r>
                </w:p>
              </w:tc>
            </w:tr>
            <w:tr w:rsidR="000E06A9" w14:paraId="526D8B53" w14:textId="77777777" w:rsidTr="001858C6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7E9DE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611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3B254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Tarifné platy + náhrady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D21B3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602 883,24 €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29A0E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566 121,31 €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CF69B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36 761,93 € </w:t>
                  </w:r>
                </w:p>
              </w:tc>
            </w:tr>
            <w:tr w:rsidR="000E06A9" w14:paraId="463C41DB" w14:textId="77777777" w:rsidTr="001858C6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6C206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612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E35F8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Príplatky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96A79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120 903,60 €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675B5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66 220,92 €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8E5ABF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54 682,68 € </w:t>
                  </w:r>
                </w:p>
              </w:tc>
            </w:tr>
            <w:tr w:rsidR="000E06A9" w14:paraId="4A71EF80" w14:textId="77777777" w:rsidTr="001858C6">
              <w:trPr>
                <w:trHeight w:val="579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73AB0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614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33A64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+jubilejné odmeny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400F7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45 463,10 €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6007C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66 128,05 €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D7F86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20 664,95 € </w:t>
                  </w:r>
                </w:p>
              </w:tc>
            </w:tr>
            <w:tr w:rsidR="000E06A9" w14:paraId="6E7F081C" w14:textId="77777777" w:rsidTr="001858C6">
              <w:trPr>
                <w:trHeight w:val="591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FDE7B5" w14:textId="77777777" w:rsidR="000E06A9" w:rsidRDefault="000E06A9" w:rsidP="000E06A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614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AEB4F1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zo vzdelávacích poukaz.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03F24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2 820,00 €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32DC1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750,00 €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F319C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2 070,00 € </w:t>
                  </w:r>
                </w:p>
              </w:tc>
            </w:tr>
            <w:tr w:rsidR="000E06A9" w14:paraId="39D8B7F2" w14:textId="77777777" w:rsidTr="001858C6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66FD3B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620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D7900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Odvody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7FA86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278 035,72 €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2B487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253 680,60 €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494AF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24 355,12 € </w:t>
                  </w:r>
                </w:p>
              </w:tc>
            </w:tr>
            <w:tr w:rsidR="000E06A9" w14:paraId="750FD098" w14:textId="77777777" w:rsidTr="001858C6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5857F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642015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F3706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Náhrada mzdy PN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EAB81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7 570,16 €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67B42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2 483,36 €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37582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5 086,80 € </w:t>
                  </w:r>
                </w:p>
              </w:tc>
            </w:tr>
            <w:tr w:rsidR="000E06A9" w14:paraId="2C241C47" w14:textId="77777777" w:rsidTr="001858C6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24549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642013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8FB48" w14:textId="77777777" w:rsidR="000E06A9" w:rsidRDefault="000E06A9" w:rsidP="000E06A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Odchodné-bez odvodov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CB313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1 392,00 €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6EC966" w14:textId="77777777" w:rsidR="000E06A9" w:rsidRDefault="000E06A9" w:rsidP="000E06A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144AA" w14:textId="77777777" w:rsidR="000E06A9" w:rsidRDefault="000E06A9" w:rsidP="000E06A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1 392,00 € </w:t>
                  </w:r>
                </w:p>
              </w:tc>
            </w:tr>
          </w:tbl>
          <w:p w14:paraId="530C0920" w14:textId="77777777" w:rsidR="003C5CA8" w:rsidRDefault="003C5CA8" w:rsidP="00D37EC4">
            <w:pPr>
              <w:jc w:val="both"/>
              <w:rPr>
                <w:sz w:val="22"/>
                <w:szCs w:val="22"/>
              </w:rPr>
            </w:pPr>
          </w:p>
          <w:p w14:paraId="0FC6F6E8" w14:textId="77777777" w:rsidR="00461084" w:rsidRDefault="00461084" w:rsidP="00D37EC4">
            <w:pPr>
              <w:jc w:val="both"/>
              <w:rPr>
                <w:sz w:val="22"/>
                <w:szCs w:val="22"/>
              </w:rPr>
            </w:pPr>
          </w:p>
          <w:p w14:paraId="5EFAD36F" w14:textId="248E5FD4" w:rsidR="00557988" w:rsidRDefault="00966CDC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 w:rsidRPr="00813541">
              <w:rPr>
                <w:sz w:val="22"/>
                <w:szCs w:val="22"/>
              </w:rPr>
              <w:t>V osobných nákladoch</w:t>
            </w:r>
            <w:r w:rsidR="000D6691" w:rsidRPr="00066AAC">
              <w:rPr>
                <w:sz w:val="22"/>
                <w:szCs w:val="22"/>
              </w:rPr>
              <w:t xml:space="preserve"> bolo čerpanie prostriedkov oproti</w:t>
            </w:r>
            <w:r w:rsidR="000D6691">
              <w:rPr>
                <w:sz w:val="22"/>
                <w:szCs w:val="22"/>
              </w:rPr>
              <w:t xml:space="preserve"> roku 20</w:t>
            </w:r>
            <w:r w:rsidR="00617CC5">
              <w:rPr>
                <w:sz w:val="22"/>
                <w:szCs w:val="22"/>
              </w:rPr>
              <w:t>2</w:t>
            </w:r>
            <w:r w:rsidR="000E06A9">
              <w:rPr>
                <w:sz w:val="22"/>
                <w:szCs w:val="22"/>
              </w:rPr>
              <w:t>1</w:t>
            </w:r>
            <w:r w:rsidR="000D6691">
              <w:rPr>
                <w:sz w:val="22"/>
                <w:szCs w:val="22"/>
              </w:rPr>
              <w:t xml:space="preserve"> vyššie o</w:t>
            </w:r>
            <w:r w:rsidR="000E06A9">
              <w:rPr>
                <w:sz w:val="22"/>
                <w:szCs w:val="22"/>
              </w:rPr>
              <w:t> 103 683,58</w:t>
            </w:r>
            <w:r w:rsidR="000D6691">
              <w:rPr>
                <w:sz w:val="22"/>
                <w:szCs w:val="22"/>
              </w:rPr>
              <w:t xml:space="preserve"> eur z dôvodu, že </w:t>
            </w:r>
            <w:r w:rsidR="00617CC5">
              <w:rPr>
                <w:sz w:val="22"/>
                <w:szCs w:val="22"/>
              </w:rPr>
              <w:t xml:space="preserve">škola vyplatila svojim zamestnancom, financovaným v rámci preneseného výkonu  odmeny, jednak </w:t>
            </w:r>
            <w:r w:rsidR="000E06A9">
              <w:rPr>
                <w:sz w:val="22"/>
                <w:szCs w:val="22"/>
              </w:rPr>
              <w:t>35</w:t>
            </w:r>
            <w:r w:rsidR="00617CC5">
              <w:rPr>
                <w:sz w:val="22"/>
                <w:szCs w:val="22"/>
              </w:rPr>
              <w:t xml:space="preserve">0 € </w:t>
            </w:r>
            <w:r w:rsidR="000E06A9">
              <w:rPr>
                <w:sz w:val="22"/>
                <w:szCs w:val="22"/>
              </w:rPr>
              <w:t>a tiež</w:t>
            </w:r>
            <w:r w:rsidR="00617CC5">
              <w:rPr>
                <w:sz w:val="22"/>
                <w:szCs w:val="22"/>
              </w:rPr>
              <w:t xml:space="preserve"> </w:t>
            </w:r>
            <w:r w:rsidR="000E06A9">
              <w:rPr>
                <w:sz w:val="22"/>
                <w:szCs w:val="22"/>
              </w:rPr>
              <w:t>5</w:t>
            </w:r>
            <w:r w:rsidR="00617CC5">
              <w:rPr>
                <w:sz w:val="22"/>
                <w:szCs w:val="22"/>
              </w:rPr>
              <w:t>00 € na zamestnanca</w:t>
            </w:r>
            <w:r w:rsidR="00853143">
              <w:rPr>
                <w:sz w:val="22"/>
                <w:szCs w:val="22"/>
              </w:rPr>
              <w:t xml:space="preserve"> (pri dodržaní podmienok stanovených MŠ SR</w:t>
            </w:r>
            <w:r w:rsidR="000E06A9">
              <w:rPr>
                <w:sz w:val="22"/>
                <w:szCs w:val="22"/>
              </w:rPr>
              <w:t xml:space="preserve"> a v súlade s vyššou kolektívnou zmluvou</w:t>
            </w:r>
            <w:r w:rsidR="00853143">
              <w:rPr>
                <w:sz w:val="22"/>
                <w:szCs w:val="22"/>
              </w:rPr>
              <w:t>)</w:t>
            </w:r>
            <w:r w:rsidR="000D6691">
              <w:rPr>
                <w:sz w:val="22"/>
                <w:szCs w:val="22"/>
              </w:rPr>
              <w:t xml:space="preserve">. </w:t>
            </w:r>
            <w:r w:rsidR="000E06A9">
              <w:rPr>
                <w:sz w:val="22"/>
                <w:szCs w:val="22"/>
              </w:rPr>
              <w:t>V neposlednom rade za nárastom čerpania osobných nákladov stojí aj fakt, že sa zamestnancom v roku 2022 dva krát (v súlade so zákonom) zvyšoval tarifný plat, ktorý je zák</w:t>
            </w:r>
            <w:r w:rsidR="00DC5A22">
              <w:rPr>
                <w:sz w:val="22"/>
                <w:szCs w:val="22"/>
              </w:rPr>
              <w:t>l</w:t>
            </w:r>
            <w:r w:rsidR="000E06A9">
              <w:rPr>
                <w:sz w:val="22"/>
                <w:szCs w:val="22"/>
              </w:rPr>
              <w:t>adom aj pri výpočte príplatkov, ktoré tým pádom mali tiež stúpajúc</w:t>
            </w:r>
            <w:r w:rsidR="0080428D">
              <w:rPr>
                <w:sz w:val="22"/>
                <w:szCs w:val="22"/>
              </w:rPr>
              <w:t xml:space="preserve">u tendenciu. V súvislosti s vyššie spomenutými faktami došlo zákonite i k nárastu povinných odvodov do poisťovní. Jediný pokles v rámci osobných nákladov môžeme vidieť na položke odmien, čo bolo spôsobené tým, že škola svojim zamestnancom nevyplatila koncoročné odmeny. </w:t>
            </w:r>
          </w:p>
          <w:p w14:paraId="27114EBF" w14:textId="5E06C9AE" w:rsidR="0080428D" w:rsidRDefault="0080428D" w:rsidP="000366B3">
            <w:pPr>
              <w:ind w:right="1025"/>
              <w:jc w:val="both"/>
              <w:rPr>
                <w:sz w:val="22"/>
                <w:szCs w:val="22"/>
              </w:rPr>
            </w:pP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000"/>
              <w:gridCol w:w="1478"/>
              <w:gridCol w:w="1733"/>
              <w:gridCol w:w="1701"/>
              <w:gridCol w:w="1701"/>
            </w:tblGrid>
            <w:tr w:rsidR="0080428D" w14:paraId="09FAB15B" w14:textId="77777777" w:rsidTr="00DC5A22">
              <w:trPr>
                <w:trHeight w:val="324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E43C8" w14:textId="77777777" w:rsidR="0080428D" w:rsidRDefault="0080428D" w:rsidP="0080428D">
                  <w:pPr>
                    <w:rPr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B3F4D" w14:textId="77777777" w:rsidR="0080428D" w:rsidRDefault="0080428D" w:rsidP="0080428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8392D" w14:textId="77777777" w:rsidR="0080428D" w:rsidRDefault="0080428D" w:rsidP="0080428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642C6" w14:textId="77777777" w:rsidR="0080428D" w:rsidRDefault="0080428D" w:rsidP="0080428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C6E16" w14:textId="77777777" w:rsidR="0080428D" w:rsidRDefault="0080428D" w:rsidP="0080428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818C2" w14:textId="77777777" w:rsidR="0080428D" w:rsidRDefault="0080428D" w:rsidP="0080428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80428D" w14:paraId="2564C204" w14:textId="77777777" w:rsidTr="00DC5A22">
              <w:trPr>
                <w:trHeight w:val="1119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2B2AB" w14:textId="77777777" w:rsidR="0080428D" w:rsidRDefault="0080428D" w:rsidP="0080428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630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3D3651" w14:textId="77777777" w:rsidR="0080428D" w:rsidRDefault="0080428D" w:rsidP="0080428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F59A65B" w14:textId="77777777" w:rsidR="0080428D" w:rsidRDefault="0080428D" w:rsidP="0080428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149 562,06 €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D4FBE3B" w14:textId="77777777" w:rsidR="0080428D" w:rsidRDefault="0080428D" w:rsidP="0080428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194 336,51 €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741E116" w14:textId="77777777" w:rsidR="0080428D" w:rsidRDefault="0080428D" w:rsidP="0080428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-        44 774,45 € </w:t>
                  </w:r>
                </w:p>
              </w:tc>
            </w:tr>
            <w:tr w:rsidR="0080428D" w14:paraId="4A227B65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3CFB3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F3BB00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Cestovné náklady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59D8F3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277,84 €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4B5F9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76,50 €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5E72C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201,34 € </w:t>
                  </w:r>
                </w:p>
              </w:tc>
            </w:tr>
            <w:tr w:rsidR="0080428D" w14:paraId="23B10AC7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E4A7A3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FD8CF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Elektrická energia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D2057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6 732,50 €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E8AB6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7 513,94 €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C518A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781,44 € </w:t>
                  </w:r>
                </w:p>
              </w:tc>
            </w:tr>
            <w:tr w:rsidR="0080428D" w14:paraId="775F1B8C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7407E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2178F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Plyn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FEB779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14D6F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4892B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80428D" w14:paraId="5C0D293C" w14:textId="77777777" w:rsidTr="00DC5A22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0BD67" w14:textId="77777777" w:rsidR="0080428D" w:rsidRDefault="0080428D" w:rsidP="0080428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ECF7E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Teplo a TÚV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ADBA7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27 569,38 €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98F6D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30 478,19 €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028E2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2 908,81 € </w:t>
                  </w:r>
                </w:p>
              </w:tc>
            </w:tr>
            <w:tr w:rsidR="0080428D" w14:paraId="0A504864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F3D968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E8593A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Vodné-stočné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3D606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5 215,51 €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265063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7 194,46 €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6C640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1 978,95 € </w:t>
                  </w:r>
                </w:p>
              </w:tc>
            </w:tr>
            <w:tr w:rsidR="0080428D" w14:paraId="085292B2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5CE37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F4DC10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Poštovné+telefon+internet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B219C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1 213,85 €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548AC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1 176,17 €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1B0A6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37,68 € </w:t>
                  </w:r>
                </w:p>
              </w:tc>
            </w:tr>
            <w:tr w:rsidR="0080428D" w14:paraId="0AFDC584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26797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DCFD26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Materiál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866DC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29 715,61 €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EC768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50 132,57 €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4D78B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20 416,96 € </w:t>
                  </w:r>
                </w:p>
              </w:tc>
            </w:tr>
            <w:tr w:rsidR="0080428D" w14:paraId="0EBD49C5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F2082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DF06F9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Dopravné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B5FF1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C6017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9,80 €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3F2D65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    9,80 € </w:t>
                  </w:r>
                </w:p>
              </w:tc>
            </w:tr>
            <w:tr w:rsidR="0080428D" w14:paraId="45BD0A5A" w14:textId="77777777" w:rsidTr="00DC5A22">
              <w:trPr>
                <w:trHeight w:val="6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C3C863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EB2BD3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Údržba a oprava budov, strojov....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FCF76C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24 652,16 €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CC5CB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62 454,33 €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CFB99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37 802,17 € </w:t>
                  </w:r>
                </w:p>
              </w:tc>
            </w:tr>
            <w:tr w:rsidR="0080428D" w14:paraId="31FCCCC2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2FC82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636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DCA97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Prenájom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1C1A5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EC769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14D358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80428D" w14:paraId="01EF7614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7F6A2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637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D7B9E" w14:textId="77777777" w:rsidR="0080428D" w:rsidRDefault="0080428D" w:rsidP="0080428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Služby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C4346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54 185,21 €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DBD55" w14:textId="77777777" w:rsidR="0080428D" w:rsidRDefault="0080428D" w:rsidP="0080428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35 300,55 €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524BE" w14:textId="77777777" w:rsidR="0080428D" w:rsidRDefault="0080428D" w:rsidP="0080428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18 884,66 € </w:t>
                  </w:r>
                </w:p>
              </w:tc>
            </w:tr>
            <w:tr w:rsidR="0080428D" w14:paraId="0B5DB740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183DA" w14:textId="77777777" w:rsidR="0080428D" w:rsidRDefault="0080428D" w:rsidP="0080428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642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7C30F2" w14:textId="77777777" w:rsidR="0080428D" w:rsidRDefault="0080428D" w:rsidP="0080428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Transfery jednotlivcom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E69DE" w14:textId="77777777" w:rsidR="0080428D" w:rsidRDefault="0080428D" w:rsidP="0080428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11 173,47 €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014BB" w14:textId="77777777" w:rsidR="0080428D" w:rsidRDefault="0080428D" w:rsidP="0080428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7 561,32 €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8834C8" w14:textId="77777777" w:rsidR="0080428D" w:rsidRDefault="0080428D" w:rsidP="0080428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3 612,15 € </w:t>
                  </w:r>
                </w:p>
              </w:tc>
            </w:tr>
            <w:tr w:rsidR="0080428D" w14:paraId="3F0B8C31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BB684" w14:textId="77777777" w:rsidR="0080428D" w:rsidRDefault="0080428D" w:rsidP="0080428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A5BC7E" w14:textId="77777777" w:rsidR="0080428D" w:rsidRDefault="0080428D" w:rsidP="0080428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Kapitálové výd.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D261C" w14:textId="77777777" w:rsidR="0080428D" w:rsidRDefault="0080428D" w:rsidP="0080428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BCF12" w14:textId="77777777" w:rsidR="0080428D" w:rsidRDefault="0080428D" w:rsidP="0080428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33 000,00 €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3C9A4" w14:textId="77777777" w:rsidR="0080428D" w:rsidRDefault="0080428D" w:rsidP="0080428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-      33 000,00 € </w:t>
                  </w:r>
                </w:p>
              </w:tc>
            </w:tr>
          </w:tbl>
          <w:p w14:paraId="4573FF50" w14:textId="77777777" w:rsidR="0080428D" w:rsidRDefault="0080428D" w:rsidP="000366B3">
            <w:pPr>
              <w:ind w:right="1025"/>
              <w:jc w:val="both"/>
              <w:rPr>
                <w:sz w:val="22"/>
                <w:szCs w:val="22"/>
              </w:rPr>
            </w:pPr>
          </w:p>
          <w:p w14:paraId="34076407" w14:textId="77777777" w:rsidR="00DC5A22" w:rsidRDefault="000D6691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14:paraId="578E2928" w14:textId="18E080A2" w:rsidR="005E77FE" w:rsidRDefault="00DC5A22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66AAC">
              <w:rPr>
                <w:sz w:val="22"/>
                <w:szCs w:val="22"/>
              </w:rPr>
              <w:t>V porovnaní s rokom 20</w:t>
            </w:r>
            <w:r w:rsidR="00853143">
              <w:rPr>
                <w:sz w:val="22"/>
                <w:szCs w:val="22"/>
              </w:rPr>
              <w:t>2</w:t>
            </w:r>
            <w:r w:rsidR="0080428D">
              <w:rPr>
                <w:sz w:val="22"/>
                <w:szCs w:val="22"/>
              </w:rPr>
              <w:t>1</w:t>
            </w:r>
            <w:r w:rsidR="00066AAC">
              <w:rPr>
                <w:sz w:val="22"/>
                <w:szCs w:val="22"/>
              </w:rPr>
              <w:t xml:space="preserve"> bol </w:t>
            </w:r>
            <w:r w:rsidR="003C5CA8">
              <w:rPr>
                <w:sz w:val="22"/>
                <w:szCs w:val="22"/>
              </w:rPr>
              <w:t>nárast</w:t>
            </w:r>
            <w:r w:rsidR="000D6691">
              <w:rPr>
                <w:sz w:val="22"/>
                <w:szCs w:val="22"/>
              </w:rPr>
              <w:t xml:space="preserve"> čerpania </w:t>
            </w:r>
            <w:r w:rsidR="00066AAC">
              <w:rPr>
                <w:sz w:val="22"/>
                <w:szCs w:val="22"/>
              </w:rPr>
              <w:t>na položkách tovarov a služieb o</w:t>
            </w:r>
            <w:r w:rsidR="0080428D">
              <w:rPr>
                <w:sz w:val="22"/>
                <w:szCs w:val="22"/>
              </w:rPr>
              <w:t> 18 884,66</w:t>
            </w:r>
            <w:r w:rsidR="00066AAC">
              <w:rPr>
                <w:sz w:val="22"/>
                <w:szCs w:val="22"/>
              </w:rPr>
              <w:t xml:space="preserve"> €</w:t>
            </w:r>
            <w:r w:rsidR="00404C6A">
              <w:rPr>
                <w:sz w:val="22"/>
                <w:szCs w:val="22"/>
              </w:rPr>
              <w:t>.</w:t>
            </w:r>
            <w:r w:rsidR="0080428D">
              <w:rPr>
                <w:sz w:val="22"/>
                <w:szCs w:val="22"/>
              </w:rPr>
              <w:t xml:space="preserve"> </w:t>
            </w:r>
            <w:r w:rsidR="004A2AD0">
              <w:rPr>
                <w:sz w:val="22"/>
                <w:szCs w:val="22"/>
              </w:rPr>
              <w:t>Z uvedenej položky boli hradené príspevky na rekreáciu zamestnancom, povinný prídel do sociálneho fondu, dohody o pracovnej činnosti, poplatky za odvoz komunálneho odpadu, v rámci osobitných dotácií pobyt detí v ŠvP a na lyžiarskom výcviku a iné potrebné služby. Navýšenie výdavkov vidíme aj pri položke 642 – transfery jednotlivcom, z ktorej boli hradené príspevky na stravovanie zamestnancov, nemocenský dávky vyplatené zamestnancom pri práceneschopnosti a tiež z osobitnej dotácie príspevok na dopravu žiakom, ktorí dochádzajú z dôvodu, že v</w:t>
            </w:r>
            <w:r>
              <w:rPr>
                <w:sz w:val="22"/>
                <w:szCs w:val="22"/>
              </w:rPr>
              <w:t> </w:t>
            </w:r>
            <w:r w:rsidR="004A2AD0">
              <w:rPr>
                <w:sz w:val="22"/>
                <w:szCs w:val="22"/>
              </w:rPr>
              <w:t>mieste</w:t>
            </w:r>
            <w:r>
              <w:rPr>
                <w:sz w:val="22"/>
                <w:szCs w:val="22"/>
              </w:rPr>
              <w:t xml:space="preserve"> trvalého</w:t>
            </w:r>
            <w:r w:rsidR="004A2AD0">
              <w:rPr>
                <w:sz w:val="22"/>
                <w:szCs w:val="22"/>
              </w:rPr>
              <w:t xml:space="preserve"> bydliska nemajú príslušný druh školy. </w:t>
            </w:r>
            <w:r w:rsidR="0080428D">
              <w:rPr>
                <w:sz w:val="22"/>
                <w:szCs w:val="22"/>
              </w:rPr>
              <w:t>Pri čerpaní na ostatných výdavkových položkách prevádzkových nákladov vidíme pokles.</w:t>
            </w:r>
            <w:r w:rsidR="00510F13">
              <w:rPr>
                <w:sz w:val="22"/>
                <w:szCs w:val="22"/>
              </w:rPr>
              <w:t xml:space="preserve"> </w:t>
            </w:r>
            <w:r w:rsidR="004A2AD0">
              <w:rPr>
                <w:sz w:val="22"/>
                <w:szCs w:val="22"/>
              </w:rPr>
              <w:t xml:space="preserve">Škola sa totiž snažila šetriť finančné prostriedky jednak pri energiách, ako aj pri nákupe materiálu potrebného na zabezpečenie chodu školy. </w:t>
            </w:r>
          </w:p>
          <w:p w14:paraId="03CDC996" w14:textId="588AC3C7" w:rsidR="0099365F" w:rsidRDefault="005E77FE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10F13">
              <w:rPr>
                <w:sz w:val="22"/>
                <w:szCs w:val="22"/>
              </w:rPr>
              <w:t xml:space="preserve"> </w:t>
            </w:r>
            <w:r w:rsidR="004A2AD0">
              <w:rPr>
                <w:sz w:val="22"/>
                <w:szCs w:val="22"/>
              </w:rPr>
              <w:t>Pokles</w:t>
            </w:r>
            <w:r w:rsidR="00142F0D">
              <w:rPr>
                <w:sz w:val="22"/>
                <w:szCs w:val="22"/>
              </w:rPr>
              <w:t xml:space="preserve"> vidíme aj pri kapitálových výdavkoch a to o 33 000 €, ktoré škola </w:t>
            </w:r>
            <w:r w:rsidR="004A2AD0">
              <w:rPr>
                <w:sz w:val="22"/>
                <w:szCs w:val="22"/>
              </w:rPr>
              <w:t>v sledovanom roku nemala schválené v rozpočte.</w:t>
            </w:r>
          </w:p>
          <w:p w14:paraId="08BB421B" w14:textId="77777777" w:rsidR="000D6691" w:rsidRDefault="0099365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14:paraId="12E3CBA5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48083782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7E464366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6894A3B4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29590FC7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58BF0189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0C81A72D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 w:rsidRPr="00090E62">
              <w:rPr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lastRenderedPageBreak/>
              <w:t xml:space="preserve">Originálne kompetencie  - 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dotácie cez rozpočet mesta z PDFO</w:t>
            </w:r>
          </w:p>
          <w:p w14:paraId="64F718B3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767B836F" w14:textId="77777777" w:rsidR="009F2C33" w:rsidRDefault="009F2C33" w:rsidP="008C0B07">
            <w:pPr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Školský klub detí</w:t>
            </w:r>
          </w:p>
          <w:p w14:paraId="7B6E358D" w14:textId="77777777" w:rsidR="009F2C33" w:rsidRDefault="009F2C33" w:rsidP="008C0B07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000"/>
              <w:gridCol w:w="1478"/>
              <w:gridCol w:w="1733"/>
              <w:gridCol w:w="1701"/>
              <w:gridCol w:w="1701"/>
            </w:tblGrid>
            <w:tr w:rsidR="004A2AD0" w14:paraId="3B618DC0" w14:textId="77777777" w:rsidTr="00DC5A22">
              <w:trPr>
                <w:trHeight w:val="300"/>
              </w:trPr>
              <w:tc>
                <w:tcPr>
                  <w:tcW w:w="1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DDA241" w14:textId="6FDFDFE8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682FD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BE28E" w14:textId="77777777" w:rsidR="004A2AD0" w:rsidRDefault="004A2AD0" w:rsidP="004A2AD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F0F5F" w14:textId="77777777" w:rsidR="004A2AD0" w:rsidRDefault="004A2AD0" w:rsidP="004A2AD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D6250" w14:textId="77777777" w:rsidR="004A2AD0" w:rsidRDefault="004A2AD0" w:rsidP="004A2AD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4A2AD0" w14:paraId="6894041B" w14:textId="77777777" w:rsidTr="00DC5A22">
              <w:trPr>
                <w:trHeight w:val="948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7CDCD" w14:textId="77777777" w:rsidR="004A2AD0" w:rsidRDefault="004A2AD0" w:rsidP="004A2AD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Položka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EFD26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Osobné náklady celkom, vrátane osobitných dotácií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772862D" w14:textId="77777777" w:rsidR="004A2AD0" w:rsidRDefault="004A2AD0" w:rsidP="004A2AD0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111 250,19 €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F92516C" w14:textId="77777777" w:rsidR="004A2AD0" w:rsidRDefault="004A2AD0" w:rsidP="004A2AD0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90 088,42 €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B4A9DC9" w14:textId="77777777" w:rsidR="004A2AD0" w:rsidRDefault="004A2AD0" w:rsidP="004A2AD0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21 161,77 € </w:t>
                  </w:r>
                </w:p>
              </w:tc>
            </w:tr>
            <w:tr w:rsidR="004A2AD0" w14:paraId="57847B5D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E62B8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DD754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Tarifné platy + náhrady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A8AFB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69 539,70 €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29461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59 670,68 €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314DE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9 869,02 € </w:t>
                  </w:r>
                </w:p>
              </w:tc>
            </w:tr>
            <w:tr w:rsidR="004A2AD0" w14:paraId="7606ACA3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D7C39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135D97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Príplatky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A3D40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7 349,47 €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CA075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1 499,73 €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48B09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5 849,74 € </w:t>
                  </w:r>
                </w:p>
              </w:tc>
            </w:tr>
            <w:tr w:rsidR="004A2AD0" w14:paraId="5B05F32A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9D748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4DEEA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+jubilejné odmeny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8974B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5 402,00 €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60DB75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5 650,00 €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CFEEB9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248,00 € </w:t>
                  </w:r>
                </w:p>
              </w:tc>
            </w:tr>
            <w:tr w:rsidR="004A2AD0" w14:paraId="56547D51" w14:textId="77777777" w:rsidTr="00DC5A22">
              <w:trPr>
                <w:trHeight w:val="57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E88CC" w14:textId="77777777" w:rsidR="004A2AD0" w:rsidRDefault="004A2AD0" w:rsidP="004A2AD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2BB38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zo vzdelávacích poukaz.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354DA1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FDDC0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AD46F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496422E9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861D9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AE7802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Odvody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3EA4B8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28 082,10 €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1F5F8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23 046,76 €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85FDBD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5 035,34 € </w:t>
                  </w:r>
                </w:p>
              </w:tc>
            </w:tr>
            <w:tr w:rsidR="004A2AD0" w14:paraId="515CC727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C2A06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04F8CD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Náhrada mzdy PN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9BB64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876,92 €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26F352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221,25 €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184B5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655,67 € </w:t>
                  </w:r>
                </w:p>
              </w:tc>
            </w:tr>
            <w:tr w:rsidR="004A2AD0" w14:paraId="0A54ACDB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1143B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821F4F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Odchodné-bez odvodov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F7E78C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7ADB7F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377B7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56290DF9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80D52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A3F2BC" w14:textId="77777777" w:rsidR="004A2AD0" w:rsidRDefault="004A2AD0" w:rsidP="004A2A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A3D828" w14:textId="77777777" w:rsidR="004A2AD0" w:rsidRDefault="004A2AD0" w:rsidP="004A2A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A869C6" w14:textId="77777777" w:rsidR="004A2AD0" w:rsidRDefault="004A2AD0" w:rsidP="004A2A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EE927E" w14:textId="77777777" w:rsidR="004A2AD0" w:rsidRDefault="004A2AD0" w:rsidP="004A2A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6C324" w14:textId="77777777" w:rsidR="004A2AD0" w:rsidRDefault="004A2AD0" w:rsidP="004A2A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4A2AD0" w14:paraId="7A9A432F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9F7C1" w14:textId="77777777" w:rsidR="004A2AD0" w:rsidRDefault="004A2AD0" w:rsidP="004A2A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268FA" w14:textId="77777777" w:rsidR="004A2AD0" w:rsidRDefault="004A2AD0" w:rsidP="004A2A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20BB2" w14:textId="77777777" w:rsidR="004A2AD0" w:rsidRDefault="004A2AD0" w:rsidP="004A2A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F7A118" w14:textId="77777777" w:rsidR="004A2AD0" w:rsidRDefault="004A2AD0" w:rsidP="004A2AD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BFFE4" w14:textId="77777777" w:rsidR="004A2AD0" w:rsidRDefault="004A2AD0" w:rsidP="004A2AD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4B681" w14:textId="77777777" w:rsidR="004A2AD0" w:rsidRDefault="004A2AD0" w:rsidP="004A2AD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4A2AD0" w14:paraId="44104994" w14:textId="77777777" w:rsidTr="00DC5A22">
              <w:trPr>
                <w:trHeight w:val="1116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0577E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630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F9222B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CA0713C" w14:textId="77777777" w:rsidR="004A2AD0" w:rsidRDefault="004A2AD0" w:rsidP="004A2AD0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275,00 €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224EBAE" w14:textId="77777777" w:rsidR="004A2AD0" w:rsidRDefault="004A2AD0" w:rsidP="004A2AD0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3 390,39 €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D7246BC" w14:textId="77777777" w:rsidR="004A2AD0" w:rsidRDefault="004A2AD0" w:rsidP="004A2AD0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-          3 115,39 € </w:t>
                  </w:r>
                </w:p>
              </w:tc>
            </w:tr>
            <w:tr w:rsidR="004A2AD0" w14:paraId="53EF7815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37DD8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5FA176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Cestovné náklady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1E51E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F5AAE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6BA8D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6B72A3B5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E94B3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B4D0E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Elektrická energia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C7C424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C5970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01F04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28424E01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F4CFE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397808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Plyn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E7086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F7F32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EF9C0B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690B7693" w14:textId="77777777" w:rsidTr="00DC5A22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74772" w14:textId="77777777" w:rsidR="004A2AD0" w:rsidRDefault="004A2AD0" w:rsidP="004A2AD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C940B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Teplo a TÚV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8233D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CD2AB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ADF75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0EF06192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0D4E4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439D3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Vodné-stočné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B0507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CD249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BEDD9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69FD0A7A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BD94F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C792D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Poštovné+telefon+internet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18624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40844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F5D6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007FB06E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87CE34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E593D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Materiál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2436B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11393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8AE9E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307EA7D1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014F2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06F77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Dopravné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10E95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9489E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38ABF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35C1990C" w14:textId="77777777" w:rsidTr="00DC5A22">
              <w:trPr>
                <w:trHeight w:val="9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F8CA68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9A437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Údržba a oprava budov, strojov....-výmena svietidiel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DA0CE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EDBF8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3 390,39 €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B9B0D4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3 390,39 € </w:t>
                  </w:r>
                </w:p>
              </w:tc>
            </w:tr>
            <w:tr w:rsidR="004A2AD0" w14:paraId="16FF438C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927B7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636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1586D2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Prenájom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22358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72C6E1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46C65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4A2AD0" w14:paraId="335353F0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F1837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637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0E552" w14:textId="77777777" w:rsidR="004A2AD0" w:rsidRDefault="004A2AD0" w:rsidP="004A2AD0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Služby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A77D8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275,00 €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47975" w14:textId="77777777" w:rsidR="004A2AD0" w:rsidRDefault="004A2AD0" w:rsidP="004A2AD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424C5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275,00 € </w:t>
                  </w:r>
                </w:p>
              </w:tc>
            </w:tr>
            <w:tr w:rsidR="004A2AD0" w14:paraId="306CBA91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7F329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642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81E9E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Transfery jednotlivcom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4B927A" w14:textId="77777777" w:rsidR="004A2AD0" w:rsidRDefault="004A2AD0" w:rsidP="004A2AD0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113,84 €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F2E8F" w14:textId="77777777" w:rsidR="004A2AD0" w:rsidRDefault="004A2AD0" w:rsidP="004A2AD0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121,15 €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9EE6E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    7,31 € </w:t>
                  </w:r>
                </w:p>
              </w:tc>
            </w:tr>
            <w:tr w:rsidR="004A2AD0" w14:paraId="74E5DBBD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E26E3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6C6FB" w14:textId="77777777" w:rsidR="004A2AD0" w:rsidRDefault="004A2AD0" w:rsidP="004A2AD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Kapitálové výd.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C4FF7" w14:textId="77777777" w:rsidR="004A2AD0" w:rsidRDefault="004A2AD0" w:rsidP="004A2AD0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4AD32" w14:textId="77777777" w:rsidR="004A2AD0" w:rsidRDefault="004A2AD0" w:rsidP="004A2AD0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990,76 €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51150" w14:textId="77777777" w:rsidR="004A2AD0" w:rsidRDefault="004A2AD0" w:rsidP="004A2AD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990,76 € </w:t>
                  </w:r>
                </w:p>
              </w:tc>
            </w:tr>
          </w:tbl>
          <w:p w14:paraId="75E7A41F" w14:textId="77777777" w:rsidR="007D1159" w:rsidRPr="00090E62" w:rsidRDefault="007D1159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5290265B" w14:textId="2F47DBBB" w:rsidR="0091423F" w:rsidRDefault="009F2C33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>Pri čerpaní osobných nákladov v školskom klube detí môžeme skonštatovať, že v porovnaní s rokom 20</w:t>
            </w:r>
            <w:r w:rsidR="0091423F">
              <w:rPr>
                <w:sz w:val="22"/>
                <w:szCs w:val="22"/>
              </w:rPr>
              <w:t>2</w:t>
            </w:r>
            <w:r w:rsidR="002363DA">
              <w:rPr>
                <w:sz w:val="22"/>
                <w:szCs w:val="22"/>
              </w:rPr>
              <w:t>1</w:t>
            </w:r>
            <w:r w:rsidR="000D6691">
              <w:rPr>
                <w:sz w:val="22"/>
                <w:szCs w:val="22"/>
              </w:rPr>
              <w:t xml:space="preserve"> bolo vyčerpaných </w:t>
            </w:r>
            <w:r w:rsidR="002363DA">
              <w:rPr>
                <w:sz w:val="22"/>
                <w:szCs w:val="22"/>
              </w:rPr>
              <w:t>viac</w:t>
            </w:r>
            <w:r w:rsidR="000D6691">
              <w:rPr>
                <w:sz w:val="22"/>
                <w:szCs w:val="22"/>
              </w:rPr>
              <w:t xml:space="preserve"> finančných prostriedkov o</w:t>
            </w:r>
            <w:r w:rsidR="002363DA">
              <w:rPr>
                <w:sz w:val="22"/>
                <w:szCs w:val="22"/>
              </w:rPr>
              <w:t> 21 161,77</w:t>
            </w:r>
            <w:r w:rsidR="000D6691">
              <w:rPr>
                <w:sz w:val="22"/>
                <w:szCs w:val="22"/>
              </w:rPr>
              <w:t xml:space="preserve"> eur</w:t>
            </w:r>
            <w:r w:rsidR="002363DA">
              <w:rPr>
                <w:sz w:val="22"/>
                <w:szCs w:val="22"/>
              </w:rPr>
              <w:t>. Dôvody boli rovnaké, ako boli popísané pri čerpaní finančných prostriedkov v rámci prenesených kompetencií – zákonný nárast tarifných platov a s ním spojený nárast základu pre výpočet príplatkov, ako aj odvodov do poisťovní.</w:t>
            </w:r>
            <w:r w:rsidR="000D6691">
              <w:rPr>
                <w:sz w:val="22"/>
                <w:szCs w:val="22"/>
              </w:rPr>
              <w:t xml:space="preserve"> </w:t>
            </w:r>
            <w:r w:rsidR="002363DA">
              <w:rPr>
                <w:sz w:val="22"/>
                <w:szCs w:val="22"/>
              </w:rPr>
              <w:t>Pokles</w:t>
            </w:r>
            <w:r w:rsidR="0091423F">
              <w:rPr>
                <w:sz w:val="22"/>
                <w:szCs w:val="22"/>
              </w:rPr>
              <w:t xml:space="preserve"> vidíme na položke 614 – odmeny, ktoré škola vyplatila </w:t>
            </w:r>
            <w:r w:rsidR="002363DA">
              <w:rPr>
                <w:sz w:val="22"/>
                <w:szCs w:val="22"/>
              </w:rPr>
              <w:t>iba na základe schválenej vyššej kolektívnej zmluvy. Koncoročné odmeny ani tu neboli vyplatené.</w:t>
            </w:r>
          </w:p>
          <w:p w14:paraId="7F1C5CE0" w14:textId="54B2802E" w:rsidR="000D6691" w:rsidRDefault="000D6691" w:rsidP="000366B3">
            <w:pPr>
              <w:ind w:right="1025"/>
              <w:jc w:val="both"/>
            </w:pPr>
            <w:r>
              <w:rPr>
                <w:sz w:val="22"/>
                <w:szCs w:val="22"/>
              </w:rPr>
              <w:t xml:space="preserve">      Čo sa týka čerpania v prevádzkových náklado</w:t>
            </w:r>
            <w:r w:rsidR="001F14AD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,</w:t>
            </w:r>
            <w:r w:rsidR="001F14AD">
              <w:rPr>
                <w:sz w:val="22"/>
                <w:szCs w:val="22"/>
              </w:rPr>
              <w:t xml:space="preserve"> boli z prostriedkov v rámci originálnych kompetencií uhradené </w:t>
            </w:r>
            <w:r w:rsidR="002363DA">
              <w:rPr>
                <w:sz w:val="22"/>
                <w:szCs w:val="22"/>
              </w:rPr>
              <w:t xml:space="preserve">iba </w:t>
            </w:r>
            <w:r w:rsidR="0091423F">
              <w:rPr>
                <w:sz w:val="22"/>
                <w:szCs w:val="22"/>
              </w:rPr>
              <w:t>výdavky</w:t>
            </w:r>
            <w:r w:rsidR="002363DA">
              <w:rPr>
                <w:sz w:val="22"/>
                <w:szCs w:val="22"/>
              </w:rPr>
              <w:t xml:space="preserve"> položky služieb a transferov jednotlivcom</w:t>
            </w:r>
            <w:r w:rsidR="0091423F">
              <w:rPr>
                <w:sz w:val="22"/>
                <w:szCs w:val="22"/>
              </w:rPr>
              <w:t xml:space="preserve">, </w:t>
            </w:r>
            <w:r w:rsidR="002363DA">
              <w:rPr>
                <w:sz w:val="22"/>
                <w:szCs w:val="22"/>
              </w:rPr>
              <w:t xml:space="preserve">čo bol príspevok na rekreáciu zamestnancom, príspevok na stravovanie zamestnancov a náhrada príjmu počas </w:t>
            </w:r>
            <w:r w:rsidR="002363DA">
              <w:rPr>
                <w:sz w:val="22"/>
                <w:szCs w:val="22"/>
              </w:rPr>
              <w:lastRenderedPageBreak/>
              <w:t xml:space="preserve">práceneschopnosti. </w:t>
            </w:r>
            <w:r w:rsidR="000A390F">
              <w:rPr>
                <w:sz w:val="22"/>
                <w:szCs w:val="22"/>
              </w:rPr>
              <w:t>Na iné prevádzkové výdavky v rámci pridelených finančných prostriedkov na</w:t>
            </w:r>
            <w:r>
              <w:rPr>
                <w:sz w:val="22"/>
                <w:szCs w:val="22"/>
              </w:rPr>
              <w:t xml:space="preserve"> originálne kompetencie nebol</w:t>
            </w:r>
            <w:r w:rsidR="000A390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čerpané, nakoľko to objem poskytnutých prostriedkov nedovolil.  </w:t>
            </w:r>
            <w:r w:rsidR="007E2FF5">
              <w:rPr>
                <w:sz w:val="22"/>
                <w:szCs w:val="22"/>
              </w:rPr>
              <w:t xml:space="preserve">Všetky </w:t>
            </w:r>
            <w:r w:rsidR="00AE61D2">
              <w:rPr>
                <w:sz w:val="22"/>
                <w:szCs w:val="22"/>
              </w:rPr>
              <w:t xml:space="preserve">ostatné </w:t>
            </w:r>
            <w:r w:rsidR="007E2FF5">
              <w:rPr>
                <w:sz w:val="22"/>
                <w:szCs w:val="22"/>
              </w:rPr>
              <w:t>bežné výdavky ŠKD boli hradené z vrátených vlastných príjmov.</w:t>
            </w:r>
          </w:p>
          <w:p w14:paraId="7E240C2F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47F46F5E" w14:textId="77777777" w:rsidR="000D6691" w:rsidRPr="00090E62" w:rsidRDefault="000D6691" w:rsidP="008C0B07">
            <w:pPr>
              <w:rPr>
                <w:b/>
                <w:bCs/>
                <w:color w:val="000000"/>
                <w:lang w:eastAsia="sk-SK"/>
              </w:rPr>
            </w:pPr>
            <w:r w:rsidRPr="00090E62">
              <w:rPr>
                <w:b/>
                <w:bCs/>
                <w:color w:val="000000"/>
                <w:sz w:val="22"/>
                <w:szCs w:val="22"/>
                <w:lang w:eastAsia="sk-SK"/>
              </w:rPr>
              <w:t>Š</w:t>
            </w: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kolská jedáleň</w:t>
            </w:r>
          </w:p>
          <w:p w14:paraId="07615294" w14:textId="77777777" w:rsidR="000D6691" w:rsidRPr="00090E62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000"/>
              <w:gridCol w:w="1478"/>
              <w:gridCol w:w="1733"/>
              <w:gridCol w:w="1701"/>
              <w:gridCol w:w="1701"/>
            </w:tblGrid>
            <w:tr w:rsidR="00F704D2" w14:paraId="7D994BE5" w14:textId="77777777" w:rsidTr="00DC5A22">
              <w:trPr>
                <w:trHeight w:val="300"/>
              </w:trPr>
              <w:tc>
                <w:tcPr>
                  <w:tcW w:w="1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2A2B1" w14:textId="11E34446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C82384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72FCE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1F327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9FD5B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F704D2" w14:paraId="7FE94D6B" w14:textId="77777777" w:rsidTr="00DC5A22">
              <w:trPr>
                <w:trHeight w:val="912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18719" w14:textId="77777777" w:rsidR="00F704D2" w:rsidRDefault="00F704D2" w:rsidP="00F704D2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Položka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A8D47A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Osobné náklady celkom, vrátane osobitných dotácií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DEC12AD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83 074,95 €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4956632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77 260,42 €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27E3CA5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5 814,53 € </w:t>
                  </w:r>
                </w:p>
              </w:tc>
            </w:tr>
            <w:tr w:rsidR="00F704D2" w14:paraId="261CD44E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C0D04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C11C4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Tarifné platy + náhrady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278B3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50 187,49 €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D4578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48 850,50 €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EC949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1 336,99 € </w:t>
                  </w:r>
                </w:p>
              </w:tc>
            </w:tr>
            <w:tr w:rsidR="00F704D2" w14:paraId="6FD06634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09858F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5594E4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Príplatky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DD5C8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5 692,24 €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F2350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2 304,08 €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3A7CBE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3 388,16 € </w:t>
                  </w:r>
                </w:p>
              </w:tc>
            </w:tr>
            <w:tr w:rsidR="00F704D2" w14:paraId="67026AF6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DC949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4FBAAE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+jubilejné odmeny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B971CA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4 750,00 €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F1E49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4 100,00 €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9B06F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650,00 € </w:t>
                  </w:r>
                </w:p>
              </w:tc>
            </w:tr>
            <w:tr w:rsidR="00F704D2" w14:paraId="2B77B5E1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E5AFF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5DD9A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Odvody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3252E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21 663,17 €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60D15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20 491,38 €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0C163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1 171,79 € </w:t>
                  </w:r>
                </w:p>
              </w:tc>
            </w:tr>
            <w:tr w:rsidR="00F704D2" w14:paraId="0DB28CE2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93415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FDE12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Náhrada mzdy PN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174D94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782,05 €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7F61E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112,46 €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99E17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669,59 € </w:t>
                  </w:r>
                </w:p>
              </w:tc>
            </w:tr>
            <w:tr w:rsidR="00F704D2" w14:paraId="0D382CFF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D37A3E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056294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Odchodné-bez odvodov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3C19A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6F1E8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1 402,00 €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BB3DA1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1 402,00 € </w:t>
                  </w:r>
                </w:p>
              </w:tc>
            </w:tr>
            <w:tr w:rsidR="00F704D2" w14:paraId="33582261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22EE81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24A9B9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8FF666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C78E0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610B4" w14:textId="77777777" w:rsidR="00F704D2" w:rsidRDefault="00F704D2" w:rsidP="00F704D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B8F5F" w14:textId="77777777" w:rsidR="00F704D2" w:rsidRDefault="00F704D2" w:rsidP="00F704D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704D2" w14:paraId="407F541B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BA82C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F7E05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25E15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0246B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20014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9C59F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F704D2" w14:paraId="1562B1B1" w14:textId="77777777" w:rsidTr="00DC5A22">
              <w:trPr>
                <w:trHeight w:val="114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CA667F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630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CB1C69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50DAECE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865,95 €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8F7D353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689,92 €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67303B9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176,03 € </w:t>
                  </w:r>
                </w:p>
              </w:tc>
            </w:tr>
            <w:tr w:rsidR="00F704D2" w14:paraId="62926B78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4792D8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91D26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Cestovné náklady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FE284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1C622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AF194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29EE2654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1B6FB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459399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Elektrická energia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C3B4E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C20AA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DE103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3481DB1A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1301F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DFD34D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Plyn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A1A19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56,00 €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804D9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2EFBE1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56,00 € </w:t>
                  </w:r>
                </w:p>
              </w:tc>
            </w:tr>
            <w:tr w:rsidR="00F704D2" w14:paraId="6BDEDD51" w14:textId="77777777" w:rsidTr="00DC5A22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F51A7" w14:textId="77777777" w:rsidR="00F704D2" w:rsidRDefault="00F704D2" w:rsidP="00F704D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C725F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Teplo a TÚV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C8658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259,95 €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AC406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EDCF1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259,95 € </w:t>
                  </w:r>
                </w:p>
              </w:tc>
            </w:tr>
            <w:tr w:rsidR="00F704D2" w14:paraId="355C87DF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D6F79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A6952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Vodné-stočné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74C00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B7457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B0D5C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59309796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53CD2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8B10B7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Poštovné+telefon+internet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D20D0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0875B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585F2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18FCBD46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44D4E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866DD2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Materiál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FEBE1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8E15E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6AA9B0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1CE0B88C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5F555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D17B9F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Dopravné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05004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A6759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B7629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7D3F6C67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14886E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2DF4B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Údržba a oprava budov, strojov....-výmena svietidiel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D197D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C790B3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6F706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02F548A4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EB9B6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636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72C31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Prenájom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75307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91DDE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B9DE6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440235C0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F06504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637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00F18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Služby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FBE85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550,00 €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CD401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689,92 €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DDC1E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139,92 € </w:t>
                  </w:r>
                </w:p>
              </w:tc>
            </w:tr>
            <w:tr w:rsidR="00F704D2" w14:paraId="51E02FCF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4F233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642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C5423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Transfery jednotlivcom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492BD" w14:textId="77777777" w:rsidR="00F704D2" w:rsidRDefault="00F704D2" w:rsidP="00F704D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204,06 €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E3634" w14:textId="77777777" w:rsidR="00F704D2" w:rsidRDefault="00F704D2" w:rsidP="00F704D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158,25 €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21EB1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45,81 € </w:t>
                  </w:r>
                </w:p>
              </w:tc>
            </w:tr>
            <w:tr w:rsidR="00F704D2" w14:paraId="3CBBBF46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70B4B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98EFB8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315DE1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B5A21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D7236" w14:textId="77777777" w:rsidR="00F704D2" w:rsidRDefault="00F704D2" w:rsidP="00F704D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4373BC" w14:textId="77777777" w:rsidR="00F704D2" w:rsidRDefault="00F704D2" w:rsidP="00F704D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704D2" w14:paraId="37D4B760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5C151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5EE95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E9FC6" w14:textId="77777777" w:rsidR="00F704D2" w:rsidRDefault="00F704D2" w:rsidP="00F704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43A01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238B8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6A42A" w14:textId="77777777" w:rsidR="00F704D2" w:rsidRDefault="00F704D2" w:rsidP="00F704D2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F704D2" w14:paraId="458D34C4" w14:textId="77777777" w:rsidTr="00DC5A22">
              <w:trPr>
                <w:trHeight w:val="579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BB430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8C9F3A" w14:textId="77777777" w:rsidR="00F704D2" w:rsidRDefault="00F704D2" w:rsidP="00F704D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kapitálové výdavky</w:t>
                  </w:r>
                </w:p>
              </w:tc>
              <w:tc>
                <w:tcPr>
                  <w:tcW w:w="17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5C575C5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343F084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06ECBCC" w14:textId="77777777" w:rsidR="00F704D2" w:rsidRDefault="00F704D2" w:rsidP="00F704D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F704D2" w14:paraId="1964BDF4" w14:textId="77777777" w:rsidTr="00DC5A22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E0D02" w14:textId="77777777" w:rsidR="00F704D2" w:rsidRDefault="00F704D2" w:rsidP="00F704D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B5DC58" w14:textId="77777777" w:rsidR="00F704D2" w:rsidRDefault="00F704D2" w:rsidP="00F704D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Nákup strojov, prístojov...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2F4E8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A596C" w14:textId="77777777" w:rsidR="00F704D2" w:rsidRDefault="00F704D2" w:rsidP="00F704D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1568DD" w14:textId="77777777" w:rsidR="00F704D2" w:rsidRDefault="00F704D2" w:rsidP="00F704D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</w:tbl>
          <w:p w14:paraId="2039D170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652467BD" w14:textId="19643143" w:rsidR="000D6691" w:rsidRDefault="00966CDC" w:rsidP="000366B3">
            <w:pPr>
              <w:ind w:right="1025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 xml:space="preserve">Pri čerpaní osobných nákladov v školskej jedálni možno skonštatovať, že </w:t>
            </w:r>
            <w:r w:rsidR="007E2FF5">
              <w:rPr>
                <w:sz w:val="22"/>
                <w:szCs w:val="22"/>
              </w:rPr>
              <w:t xml:space="preserve">nastal </w:t>
            </w:r>
            <w:r w:rsidR="00F704D2">
              <w:rPr>
                <w:sz w:val="22"/>
                <w:szCs w:val="22"/>
              </w:rPr>
              <w:t>nárast o 5 814,53</w:t>
            </w:r>
            <w:r w:rsidR="007E2FF5">
              <w:rPr>
                <w:sz w:val="22"/>
                <w:szCs w:val="22"/>
              </w:rPr>
              <w:t xml:space="preserve"> eur </w:t>
            </w:r>
            <w:r w:rsidR="00BE3C8E">
              <w:rPr>
                <w:sz w:val="22"/>
                <w:szCs w:val="22"/>
              </w:rPr>
              <w:t>v</w:t>
            </w:r>
            <w:r w:rsidR="007E2FF5">
              <w:rPr>
                <w:sz w:val="22"/>
                <w:szCs w:val="22"/>
              </w:rPr>
              <w:t xml:space="preserve"> dôsledku </w:t>
            </w:r>
            <w:r w:rsidR="00F704D2">
              <w:rPr>
                <w:sz w:val="22"/>
                <w:szCs w:val="22"/>
              </w:rPr>
              <w:t>zvýšenia</w:t>
            </w:r>
            <w:r w:rsidR="007E2FF5">
              <w:rPr>
                <w:sz w:val="22"/>
                <w:szCs w:val="22"/>
              </w:rPr>
              <w:t xml:space="preserve"> tarifných platov a z toho vyplývajúcich</w:t>
            </w:r>
            <w:r w:rsidR="00F704D2">
              <w:rPr>
                <w:sz w:val="22"/>
                <w:szCs w:val="22"/>
              </w:rPr>
              <w:t xml:space="preserve"> príplatkov a</w:t>
            </w:r>
            <w:r w:rsidR="007E2FF5">
              <w:rPr>
                <w:sz w:val="22"/>
                <w:szCs w:val="22"/>
              </w:rPr>
              <w:t xml:space="preserve"> odvodov.</w:t>
            </w:r>
            <w:r w:rsidR="00BE278E">
              <w:rPr>
                <w:sz w:val="22"/>
                <w:szCs w:val="22"/>
              </w:rPr>
              <w:t xml:space="preserve"> </w:t>
            </w:r>
            <w:r w:rsidR="00F704D2">
              <w:rPr>
                <w:sz w:val="22"/>
                <w:szCs w:val="22"/>
              </w:rPr>
              <w:t>Ani zamestnankyniam školskej jedálne neboli vyplatené koncoročné odmeny. Vyplácali sa im taktiež iba odmeny schválené vo vyššej kolektívnej zmluve.</w:t>
            </w:r>
          </w:p>
          <w:p w14:paraId="40ACA463" w14:textId="0CBEFDDD" w:rsidR="000D6691" w:rsidRDefault="000D6691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Pri čerpaní prevádzkových nákladov z dotácie na originálne kompetencie pre ŠJ</w:t>
            </w:r>
            <w:r w:rsidR="002E6D09">
              <w:rPr>
                <w:sz w:val="22"/>
                <w:szCs w:val="22"/>
              </w:rPr>
              <w:t xml:space="preserve"> z dôvodu obmedzených zdrojov</w:t>
            </w:r>
            <w:r>
              <w:rPr>
                <w:sz w:val="22"/>
                <w:szCs w:val="22"/>
              </w:rPr>
              <w:t xml:space="preserve"> škola nefinancovala žiadne výdavky na prevádzku ŠJ</w:t>
            </w:r>
            <w:r w:rsidR="006A05B6">
              <w:rPr>
                <w:sz w:val="22"/>
                <w:szCs w:val="22"/>
              </w:rPr>
              <w:t xml:space="preserve"> okrem povinného </w:t>
            </w:r>
            <w:r w:rsidR="000E29B9">
              <w:rPr>
                <w:sz w:val="22"/>
                <w:szCs w:val="22"/>
              </w:rPr>
              <w:t>príspevku zamestnávateľa na rekreácie zamestnancov</w:t>
            </w:r>
            <w:r w:rsidR="00DC5A22">
              <w:rPr>
                <w:sz w:val="22"/>
                <w:szCs w:val="22"/>
              </w:rPr>
              <w:t>,</w:t>
            </w:r>
            <w:r w:rsidR="00BE3C8E">
              <w:rPr>
                <w:sz w:val="22"/>
                <w:szCs w:val="22"/>
              </w:rPr>
              <w:t> peňažnému príspevku na stravovanie</w:t>
            </w:r>
            <w:r w:rsidR="00C218CF">
              <w:rPr>
                <w:sz w:val="22"/>
                <w:szCs w:val="22"/>
              </w:rPr>
              <w:t xml:space="preserve"> a minimálnej časti výdavkov na energie</w:t>
            </w:r>
            <w:r>
              <w:rPr>
                <w:sz w:val="22"/>
                <w:szCs w:val="22"/>
              </w:rPr>
              <w:t>.</w:t>
            </w:r>
            <w:r w:rsidR="00C218CF">
              <w:rPr>
                <w:sz w:val="22"/>
                <w:szCs w:val="22"/>
              </w:rPr>
              <w:t xml:space="preserve"> Všetky ostatné prevádzkové výdavky boli uhrádzané z vrátených vlastných príjmov.</w:t>
            </w:r>
            <w:r w:rsidR="007837DB">
              <w:rPr>
                <w:sz w:val="22"/>
                <w:szCs w:val="22"/>
              </w:rPr>
              <w:t xml:space="preserve"> </w:t>
            </w:r>
          </w:p>
          <w:p w14:paraId="3A2B44EE" w14:textId="402E1978" w:rsidR="00582E1F" w:rsidRDefault="00C30B80" w:rsidP="004537C4">
            <w:pPr>
              <w:jc w:val="both"/>
            </w:pPr>
            <w:r>
              <w:t xml:space="preserve">    </w:t>
            </w: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420"/>
              <w:gridCol w:w="1831"/>
              <w:gridCol w:w="1701"/>
              <w:gridCol w:w="1701"/>
            </w:tblGrid>
            <w:tr w:rsidR="00C218CF" w14:paraId="6A185B56" w14:textId="77777777" w:rsidTr="00DC5A22">
              <w:trPr>
                <w:trHeight w:val="288"/>
              </w:trPr>
              <w:tc>
                <w:tcPr>
                  <w:tcW w:w="687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3C942" w14:textId="04DF2A92" w:rsidR="00C218CF" w:rsidRDefault="00C218CF" w:rsidP="00C218C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Škola - projekt - asistinti (MPC - POP)-spolufinancovanie - KZ 41</w:t>
                  </w:r>
                </w:p>
                <w:p w14:paraId="4B0708F5" w14:textId="6533BF03" w:rsidR="00C218CF" w:rsidRDefault="00C218CF" w:rsidP="00C218C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EF8042" w14:textId="77777777" w:rsidR="00C218CF" w:rsidRDefault="00C218CF" w:rsidP="00C218C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218CF" w14:paraId="773F4266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4D9A5" w14:textId="77777777" w:rsidR="00C218CF" w:rsidRDefault="00C218CF" w:rsidP="00C218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CE5BE4" w14:textId="77777777" w:rsidR="00C218CF" w:rsidRDefault="00C218CF" w:rsidP="00C218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A82893" w14:textId="77777777" w:rsidR="00C218CF" w:rsidRDefault="00C218CF" w:rsidP="00C218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954DC" w14:textId="77777777" w:rsidR="00C218CF" w:rsidRDefault="00C218CF" w:rsidP="00C218C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A9645F" w14:textId="77777777" w:rsidR="00C218CF" w:rsidRDefault="00C218CF" w:rsidP="00C218C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C7272" w14:textId="77777777" w:rsidR="00C218CF" w:rsidRDefault="00C218CF" w:rsidP="00C218C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C218CF" w14:paraId="573477DA" w14:textId="77777777" w:rsidTr="00DC5A22">
              <w:trPr>
                <w:trHeight w:val="912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E32BBB" w14:textId="77777777" w:rsidR="00C218CF" w:rsidRDefault="00C218CF" w:rsidP="00C218CF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Položka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17555" w14:textId="77777777" w:rsidR="00C218CF" w:rsidRDefault="00C218CF" w:rsidP="00C218C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Osobné náklady celkom, vrátane osobitných dotácií</w:t>
                  </w:r>
                </w:p>
              </w:tc>
              <w:tc>
                <w:tcPr>
                  <w:tcW w:w="18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6CF13E5" w14:textId="77777777" w:rsidR="00C218CF" w:rsidRDefault="00C218CF" w:rsidP="00C218C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10 209,89 €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13B261C" w14:textId="77777777" w:rsidR="00C218CF" w:rsidRDefault="00C218CF" w:rsidP="00C218C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30 036,07 €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531EBEB" w14:textId="77777777" w:rsidR="00C218CF" w:rsidRDefault="00C218CF" w:rsidP="00C218C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-        19 826,18 € </w:t>
                  </w:r>
                </w:p>
              </w:tc>
            </w:tr>
            <w:tr w:rsidR="00C218CF" w14:paraId="29706D46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6CC1A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611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0B61F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Tarifné platy + náhrady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79156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10 209,89 €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F746C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21 866,19 €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C22774" w14:textId="77777777" w:rsidR="00C218CF" w:rsidRDefault="00C218CF" w:rsidP="00C218C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11 656,30 € </w:t>
                  </w:r>
                </w:p>
              </w:tc>
            </w:tr>
            <w:tr w:rsidR="00C218CF" w14:paraId="3B1556A4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CF211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612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F55A2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Príplatky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5116E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A59D0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46AE3" w14:textId="77777777" w:rsidR="00C218CF" w:rsidRDefault="00C218CF" w:rsidP="00C218C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C218CF" w14:paraId="7A39FBEF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992B1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614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6D6438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+jubilejné odmeny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AA2F8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AC9C8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3 400,50 €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BAE4A" w14:textId="77777777" w:rsidR="00C218CF" w:rsidRDefault="00C218CF" w:rsidP="00C218C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3 400,50 € </w:t>
                  </w:r>
                </w:p>
              </w:tc>
            </w:tr>
            <w:tr w:rsidR="00C218CF" w14:paraId="646C5F7C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8302BA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620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C59A2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Odvody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7814D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864EE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4 499,12 €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4BEE7" w14:textId="77777777" w:rsidR="00C218CF" w:rsidRDefault="00C218CF" w:rsidP="00C218C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4 499,12 € </w:t>
                  </w:r>
                </w:p>
              </w:tc>
            </w:tr>
            <w:tr w:rsidR="00C218CF" w14:paraId="37A4643F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980CE6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642015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3A47A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Náhrada mzdy PN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9BCC1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B0930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270,26 €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C3E72" w14:textId="77777777" w:rsidR="00C218CF" w:rsidRDefault="00C218CF" w:rsidP="00C218C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270,26 € </w:t>
                  </w:r>
                </w:p>
              </w:tc>
            </w:tr>
            <w:tr w:rsidR="00C218CF" w14:paraId="4D85E888" w14:textId="77777777" w:rsidTr="00DC5A2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68DA5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642013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94B4BA" w14:textId="77777777" w:rsidR="00C218CF" w:rsidRDefault="00C218CF" w:rsidP="00C218CF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Odchodné-bez odvodov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E62FD8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63701" w14:textId="77777777" w:rsidR="00C218CF" w:rsidRDefault="00C218CF" w:rsidP="00C218CF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38EA6C" w14:textId="77777777" w:rsidR="00C218CF" w:rsidRDefault="00C218CF" w:rsidP="00C218C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DC5A22" w14:paraId="7C9F8D69" w14:textId="77777777" w:rsidTr="00DC5A22">
              <w:trPr>
                <w:trHeight w:val="324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368532" w14:textId="77777777" w:rsidR="00DC5A22" w:rsidRDefault="00DC5A22" w:rsidP="00DC5A2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A09632" w14:textId="77777777" w:rsidR="00DC5A22" w:rsidRDefault="00DC5A22" w:rsidP="00DC5A2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AEDD7F" w14:textId="77777777" w:rsidR="00DC5A22" w:rsidRDefault="00DC5A22" w:rsidP="00DC5A2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74291B" w14:textId="4026D934" w:rsidR="00DC5A22" w:rsidRDefault="00DC5A22" w:rsidP="00DC5A22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59ADBB" w14:textId="4FA73F93" w:rsidR="00DC5A22" w:rsidRDefault="00DC5A22" w:rsidP="00DC5A2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6A85E5" w14:textId="19A5DDC4" w:rsidR="00DC5A22" w:rsidRDefault="00DC5A22" w:rsidP="00DC5A22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rozdiel</w:t>
                  </w:r>
                </w:p>
              </w:tc>
            </w:tr>
            <w:tr w:rsidR="00DC5A22" w14:paraId="54675778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0F294" w14:textId="77777777" w:rsidR="00DC5A22" w:rsidRDefault="00DC5A22" w:rsidP="00DC5A2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630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66CDF1" w14:textId="77777777" w:rsidR="00DC5A22" w:rsidRDefault="00DC5A22" w:rsidP="00DC5A2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8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5F75689" w14:textId="77777777" w:rsidR="00DC5A22" w:rsidRDefault="00DC5A22" w:rsidP="00DC5A2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726,12 €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CBFCA9E" w14:textId="77777777" w:rsidR="00DC5A22" w:rsidRDefault="00DC5A22" w:rsidP="00DC5A2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404,11 €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4CCEB2F" w14:textId="77777777" w:rsidR="00DC5A22" w:rsidRDefault="00DC5A22" w:rsidP="00DC5A2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322,01 € </w:t>
                  </w:r>
                </w:p>
              </w:tc>
            </w:tr>
            <w:tr w:rsidR="00DC5A22" w14:paraId="0DD0B26A" w14:textId="77777777" w:rsidTr="00DC5A22">
              <w:trPr>
                <w:trHeight w:val="291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377EE" w14:textId="77777777" w:rsidR="00DC5A22" w:rsidRDefault="00DC5A22" w:rsidP="00DC5A2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637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C9711" w14:textId="77777777" w:rsidR="00DC5A22" w:rsidRDefault="00DC5A22" w:rsidP="00DC5A22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Služby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C2417" w14:textId="77777777" w:rsidR="00DC5A22" w:rsidRDefault="00DC5A22" w:rsidP="00DC5A2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726,12 €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17A0C" w14:textId="77777777" w:rsidR="00DC5A22" w:rsidRDefault="00DC5A22" w:rsidP="00DC5A2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404,11 €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23E338" w14:textId="77777777" w:rsidR="00DC5A22" w:rsidRDefault="00DC5A22" w:rsidP="00DC5A2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322,01 € </w:t>
                  </w:r>
                </w:p>
              </w:tc>
            </w:tr>
            <w:tr w:rsidR="00DC5A22" w14:paraId="521C8E03" w14:textId="77777777" w:rsidTr="00DC5A22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94289" w14:textId="77777777" w:rsidR="00DC5A22" w:rsidRDefault="00DC5A22" w:rsidP="00DC5A2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642</w:t>
                  </w:r>
                </w:p>
              </w:tc>
              <w:tc>
                <w:tcPr>
                  <w:tcW w:w="238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A33D2" w14:textId="77777777" w:rsidR="00DC5A22" w:rsidRDefault="00DC5A22" w:rsidP="00DC5A2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Transfery jednotlivcom</w:t>
                  </w:r>
                </w:p>
              </w:tc>
              <w:tc>
                <w:tcPr>
                  <w:tcW w:w="18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2E604" w14:textId="77777777" w:rsidR="00DC5A22" w:rsidRDefault="00DC5A22" w:rsidP="00DC5A2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BF027F" w14:textId="77777777" w:rsidR="00DC5A22" w:rsidRDefault="00DC5A22" w:rsidP="00DC5A2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113,27 €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F69DA" w14:textId="77777777" w:rsidR="00DC5A22" w:rsidRDefault="00DC5A22" w:rsidP="00DC5A22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-              113,27 € </w:t>
                  </w:r>
                </w:p>
              </w:tc>
            </w:tr>
          </w:tbl>
          <w:p w14:paraId="42270434" w14:textId="77777777" w:rsidR="00582E1F" w:rsidRDefault="00582E1F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6DD9241E" w14:textId="77777777" w:rsidR="00582E1F" w:rsidRDefault="00582E1F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3E4B7BF3" w14:textId="3E724D36" w:rsidR="00582E1F" w:rsidRDefault="009F2C33" w:rsidP="000366B3">
            <w:pPr>
              <w:ind w:right="1025"/>
              <w:jc w:val="both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 xml:space="preserve">      </w:t>
            </w:r>
            <w:r w:rsidR="00582E1F">
              <w:rPr>
                <w:bCs/>
                <w:color w:val="000000"/>
                <w:lang w:eastAsia="sk-SK"/>
              </w:rPr>
              <w:t xml:space="preserve">Škola </w:t>
            </w:r>
            <w:r w:rsidR="00C218CF">
              <w:rPr>
                <w:bCs/>
                <w:color w:val="000000"/>
                <w:lang w:eastAsia="sk-SK"/>
              </w:rPr>
              <w:t xml:space="preserve">aj v roku 2022 pokračovala </w:t>
            </w:r>
            <w:r w:rsidR="00437BFB">
              <w:rPr>
                <w:bCs/>
                <w:color w:val="000000"/>
                <w:lang w:eastAsia="sk-SK"/>
              </w:rPr>
              <w:t xml:space="preserve">v projekte, v rámci ktorého nám je refundovaná mzda i s príslušnými odvodmi asistentiek učiteľa pre žiakov so špeciálnymi výchovno-vzdelávacími potrebami. </w:t>
            </w:r>
            <w:r w:rsidR="004753DD">
              <w:rPr>
                <w:bCs/>
                <w:color w:val="000000"/>
                <w:lang w:eastAsia="sk-SK"/>
              </w:rPr>
              <w:t>Keďže š</w:t>
            </w:r>
            <w:r w:rsidR="0097746C">
              <w:rPr>
                <w:bCs/>
                <w:color w:val="000000"/>
                <w:lang w:eastAsia="sk-SK"/>
              </w:rPr>
              <w:t>kola</w:t>
            </w:r>
            <w:r w:rsidR="004753DD">
              <w:rPr>
                <w:bCs/>
                <w:color w:val="000000"/>
                <w:lang w:eastAsia="sk-SK"/>
              </w:rPr>
              <w:t xml:space="preserve"> tieto</w:t>
            </w:r>
            <w:r w:rsidR="0097746C">
              <w:rPr>
                <w:bCs/>
                <w:color w:val="000000"/>
                <w:lang w:eastAsia="sk-SK"/>
              </w:rPr>
              <w:t xml:space="preserve"> finančné prostriedky dostane až po predložení a schválení vyúčtovania </w:t>
            </w:r>
            <w:r w:rsidR="007D4C3A">
              <w:rPr>
                <w:bCs/>
                <w:color w:val="000000"/>
                <w:lang w:eastAsia="sk-SK"/>
              </w:rPr>
              <w:t>riadiacim orgánom (predkladajú sa</w:t>
            </w:r>
            <w:r w:rsidR="0097746C">
              <w:rPr>
                <w:bCs/>
                <w:color w:val="000000"/>
                <w:lang w:eastAsia="sk-SK"/>
              </w:rPr>
              <w:t xml:space="preserve"> doklad</w:t>
            </w:r>
            <w:r w:rsidR="007D4C3A">
              <w:rPr>
                <w:bCs/>
                <w:color w:val="000000"/>
                <w:lang w:eastAsia="sk-SK"/>
              </w:rPr>
              <w:t>y</w:t>
            </w:r>
            <w:r w:rsidR="0097746C">
              <w:rPr>
                <w:bCs/>
                <w:color w:val="000000"/>
                <w:lang w:eastAsia="sk-SK"/>
              </w:rPr>
              <w:t>, ktoré preukazujú použitie finančných prostriedkov</w:t>
            </w:r>
            <w:r w:rsidR="007D4C3A">
              <w:rPr>
                <w:bCs/>
                <w:color w:val="000000"/>
                <w:lang w:eastAsia="sk-SK"/>
              </w:rPr>
              <w:t>)</w:t>
            </w:r>
            <w:r w:rsidR="004753DD">
              <w:rPr>
                <w:bCs/>
                <w:color w:val="000000"/>
                <w:lang w:eastAsia="sk-SK"/>
              </w:rPr>
              <w:t xml:space="preserve"> je nutné</w:t>
            </w:r>
            <w:r w:rsidR="007D4C3A">
              <w:rPr>
                <w:bCs/>
                <w:color w:val="000000"/>
                <w:lang w:eastAsia="sk-SK"/>
              </w:rPr>
              <w:t xml:space="preserve"> </w:t>
            </w:r>
            <w:r w:rsidR="004753DD">
              <w:rPr>
                <w:bCs/>
                <w:color w:val="000000"/>
                <w:lang w:eastAsia="sk-SK"/>
              </w:rPr>
              <w:t>d</w:t>
            </w:r>
            <w:r w:rsidR="007D4C3A">
              <w:rPr>
                <w:bCs/>
                <w:color w:val="000000"/>
                <w:lang w:eastAsia="sk-SK"/>
              </w:rPr>
              <w:t>ofinancovan</w:t>
            </w:r>
            <w:r w:rsidR="004753DD">
              <w:rPr>
                <w:bCs/>
                <w:color w:val="000000"/>
                <w:lang w:eastAsia="sk-SK"/>
              </w:rPr>
              <w:t>ie</w:t>
            </w:r>
            <w:r w:rsidR="007D4C3A">
              <w:rPr>
                <w:bCs/>
                <w:color w:val="000000"/>
                <w:lang w:eastAsia="sk-SK"/>
              </w:rPr>
              <w:t xml:space="preserve"> výdavkov z dôvodu časového nesúladu</w:t>
            </w:r>
            <w:r w:rsidR="004753DD">
              <w:rPr>
                <w:bCs/>
                <w:color w:val="000000"/>
                <w:lang w:eastAsia="sk-SK"/>
              </w:rPr>
              <w:t>, na čo</w:t>
            </w:r>
            <w:r w:rsidR="007D4C3A">
              <w:rPr>
                <w:bCs/>
                <w:color w:val="000000"/>
                <w:lang w:eastAsia="sk-SK"/>
              </w:rPr>
              <w:t xml:space="preserve"> sa zaviazal náš zriaďovateľ Mesto Šaľa ako tretia zmluvná strana predmetného projektu. </w:t>
            </w:r>
            <w:r w:rsidR="004753DD">
              <w:rPr>
                <w:bCs/>
                <w:color w:val="000000"/>
                <w:lang w:eastAsia="sk-SK"/>
              </w:rPr>
              <w:t>Z uvedeného dôvodu bolo čerpanie výdavkov popísané v tabuľke vyššie. Čerpanie je nižšie, ako bolo v roku 2021, nakoľko v roku 2022 už nepokračoval projekt „Šanca pre všetkých“, ktorý bol výdavkom v roku 2021.</w:t>
            </w:r>
          </w:p>
          <w:p w14:paraId="70DEE63A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32332DD1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70717062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4AF1480D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2565FCA8" w14:textId="4208F1F3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6C36CF3E" w14:textId="0DB960CF" w:rsidR="004753DD" w:rsidRDefault="004753DD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1BC38C3D" w14:textId="37E7CBFD" w:rsidR="004753DD" w:rsidRDefault="004753DD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52897BDB" w14:textId="7F615D51" w:rsidR="004753DD" w:rsidRDefault="004753DD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5545E7AF" w14:textId="75D5F6C5" w:rsidR="004753DD" w:rsidRDefault="004753DD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2C68C75F" w14:textId="77777777" w:rsidR="004753DD" w:rsidRDefault="004753DD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549A7C04" w14:textId="17ACFDA0" w:rsidR="002E6D09" w:rsidRDefault="002E6D09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628A9759" w14:textId="77777777" w:rsidR="00DC5A22" w:rsidRDefault="00DC5A22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45948E21" w14:textId="77777777" w:rsidR="002E6D09" w:rsidRDefault="002E6D09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6F1D584F" w14:textId="77777777" w:rsidR="002E6D09" w:rsidRDefault="002E6D09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53D1C41C" w14:textId="4D640125" w:rsidR="000D6691" w:rsidRDefault="000D6691" w:rsidP="00872522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87BC0">
              <w:rPr>
                <w:b/>
                <w:bCs/>
                <w:sz w:val="22"/>
                <w:szCs w:val="22"/>
                <w:lang w:eastAsia="sk-SK"/>
              </w:rPr>
              <w:lastRenderedPageBreak/>
              <w:t>Čerpanie finančných prostriedkov, vrátených z vlastných príjmov</w:t>
            </w: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:</w:t>
            </w:r>
          </w:p>
          <w:p w14:paraId="108CC31C" w14:textId="77777777" w:rsidR="00306680" w:rsidRPr="00090E62" w:rsidRDefault="00306680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315D584A" w14:textId="77777777" w:rsidR="000D6691" w:rsidRPr="00090E62" w:rsidRDefault="000D6691" w:rsidP="00872522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97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4020"/>
              <w:gridCol w:w="1641"/>
              <w:gridCol w:w="1641"/>
              <w:gridCol w:w="1518"/>
            </w:tblGrid>
            <w:tr w:rsidR="004753DD" w14:paraId="48064379" w14:textId="77777777" w:rsidTr="004753DD">
              <w:trPr>
                <w:trHeight w:val="57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A539C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656B9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Spolu čerpanie vrátených vlastných príjmov</w:t>
                  </w:r>
                </w:p>
              </w:tc>
              <w:tc>
                <w:tcPr>
                  <w:tcW w:w="48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89C2E3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                                                      62 186,62 € </w:t>
                  </w:r>
                </w:p>
              </w:tc>
            </w:tr>
            <w:tr w:rsidR="004753DD" w14:paraId="3C2E5CED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75DF6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BC7A83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B4CCC2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Škola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FE7CC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ŠKD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0C5539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ŠJ</w:t>
                  </w:r>
                </w:p>
              </w:tc>
            </w:tr>
            <w:tr w:rsidR="004753DD" w14:paraId="57DFC31B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FB52E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691AF" w14:textId="77777777" w:rsidR="004753DD" w:rsidRDefault="004753DD" w:rsidP="004753D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vyčerpané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FB69A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22 945,46 €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CE520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20 620,51 €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EB26D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18 620,65 € </w:t>
                  </w:r>
                </w:p>
              </w:tc>
            </w:tr>
            <w:tr w:rsidR="004753DD" w14:paraId="12629628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4CD5E6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610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B6B265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mzdy, platy...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E69E5E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62F2D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C9F93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4753DD" w14:paraId="792CA589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274882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614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5841B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9FAC5" w14:textId="77777777" w:rsidR="004753DD" w:rsidRDefault="004753DD" w:rsidP="004753D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60DD0" w14:textId="77777777" w:rsidR="004753DD" w:rsidRDefault="004753DD" w:rsidP="004753D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CD1E1" w14:textId="77777777" w:rsidR="004753DD" w:rsidRDefault="004753DD" w:rsidP="004753D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4753DD" w14:paraId="2C150F4B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78243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620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D2A2B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poistné a príspevok do poisťovní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787B0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5D637F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BEE2F0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753DD" w14:paraId="23183998" w14:textId="77777777" w:rsidTr="004753DD">
              <w:trPr>
                <w:trHeight w:val="579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87EB2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630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15352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prevádzkové náklady - tovary a služby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656C4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22 945,46 €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B7F36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18 670,51 €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C0492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16 107,85 € </w:t>
                  </w:r>
                </w:p>
              </w:tc>
            </w:tr>
            <w:tr w:rsidR="004753DD" w14:paraId="3E27E886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64D10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631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A75EA4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Cestovné náklady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68EEC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5C94E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087971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-   € </w:t>
                  </w:r>
                </w:p>
              </w:tc>
            </w:tr>
            <w:tr w:rsidR="004753DD" w14:paraId="7090EB65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03BEB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632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754AD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Elektrická energia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D8546E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2BC2CD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CE6D8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2 839,99 € </w:t>
                  </w:r>
                </w:p>
              </w:tc>
            </w:tr>
            <w:tr w:rsidR="004753DD" w14:paraId="191F7C09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37682" w14:textId="77777777" w:rsidR="004753DD" w:rsidRDefault="004753DD" w:rsidP="004753D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61398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Vykurovanie a TÚV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A9B2C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F8F25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36611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5 792,00 € </w:t>
                  </w:r>
                </w:p>
              </w:tc>
            </w:tr>
            <w:tr w:rsidR="004753DD" w14:paraId="195B6576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62149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7DA52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Plyn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F2561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9A672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35AB3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549,73 € </w:t>
                  </w:r>
                </w:p>
              </w:tc>
            </w:tr>
            <w:tr w:rsidR="004753DD" w14:paraId="634E9976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030F0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2558F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Vodné-stočné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917C7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21C69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8D05F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415,00 € </w:t>
                  </w:r>
                </w:p>
              </w:tc>
            </w:tr>
            <w:tr w:rsidR="004753DD" w14:paraId="387B4C78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62329C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C7658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Poštovné+telefon+internet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4E87B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7A0B5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D1A6B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349,48 € </w:t>
                  </w:r>
                </w:p>
              </w:tc>
            </w:tr>
            <w:tr w:rsidR="004753DD" w14:paraId="0FA1ED3C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316A03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633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CEDCD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Materiál, učebné pomôcky,prevádz.stroje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B9CED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5 650,41 €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C00692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677,96 €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8B3AE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2 343,74 € </w:t>
                  </w:r>
                </w:p>
              </w:tc>
            </w:tr>
            <w:tr w:rsidR="004753DD" w14:paraId="2F4F1F89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16D42A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634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D62008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Palivo,mazivá,oleje, prepravné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7A567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2 340,00 €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139BB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0A88E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753DD" w14:paraId="07248F81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99D58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635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95F2E4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Údržba a oprava budov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3D7F7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8 812,48 €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0EEFA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16 658,00 €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CDB44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1 083,30 € </w:t>
                  </w:r>
                </w:p>
              </w:tc>
            </w:tr>
            <w:tr w:rsidR="004753DD" w14:paraId="37816220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20C80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636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C64CAA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Prenájom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7D824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BDABC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F3293A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753DD" w14:paraId="1ED379C9" w14:textId="77777777" w:rsidTr="004753DD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E271C" w14:textId="77777777" w:rsidR="004753DD" w:rsidRDefault="004753DD" w:rsidP="004753D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637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4F53EF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Služby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53CDEA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6 142,57 €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F7EE6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1 334,55 €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83FED1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2 734,61 € </w:t>
                  </w:r>
                </w:p>
              </w:tc>
            </w:tr>
            <w:tr w:rsidR="004753DD" w14:paraId="367BA49E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F3D030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640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8695CE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Spolu bežné transfery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DEDE8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CB0AE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2BD0F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-   € </w:t>
                  </w:r>
                </w:p>
              </w:tc>
            </w:tr>
            <w:tr w:rsidR="004753DD" w14:paraId="101DE44F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715C5" w14:textId="77777777" w:rsidR="004753DD" w:rsidRDefault="004753DD" w:rsidP="004753DD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642015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BAEE46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Náhrada príjmu – nemocenské dávky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3C6C1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FC8CFE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9AC91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753DD" w14:paraId="237BDDCA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C75ED" w14:textId="77777777" w:rsidR="004753DD" w:rsidRDefault="004753DD" w:rsidP="004753DD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700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D4ED05" w14:textId="77777777" w:rsidR="004753DD" w:rsidRDefault="004753DD" w:rsidP="004753D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Spolu kapitálové výdavky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5D68C" w14:textId="77777777" w:rsidR="004753DD" w:rsidRDefault="004753DD" w:rsidP="004753D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48AE8" w14:textId="77777777" w:rsidR="004753DD" w:rsidRDefault="004753DD" w:rsidP="004753D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1 950,00 €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61BC26" w14:textId="77777777" w:rsidR="004753DD" w:rsidRDefault="004753DD" w:rsidP="004753D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2 512,80 € </w:t>
                  </w:r>
                </w:p>
              </w:tc>
            </w:tr>
            <w:tr w:rsidR="004753DD" w14:paraId="337FB407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85C02" w14:textId="77777777" w:rsidR="004753DD" w:rsidRDefault="004753DD" w:rsidP="004753DD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713004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EE9976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Nákup prevádz.strojov, prístrojov...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20A73" w14:textId="77777777" w:rsidR="004753DD" w:rsidRDefault="004753DD" w:rsidP="004753DD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7BBAA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1 950,00 € 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73316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2 512,80 € </w:t>
                  </w:r>
                </w:p>
              </w:tc>
            </w:tr>
            <w:tr w:rsidR="004753DD" w14:paraId="1E2907E0" w14:textId="77777777" w:rsidTr="004753DD">
              <w:trPr>
                <w:trHeight w:val="31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A2CA3" w14:textId="77777777" w:rsidR="004753DD" w:rsidRDefault="004753DD" w:rsidP="004753DD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717002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F369D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Rekonštrukcia stavieb, budov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DF173A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ADF05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9A7938" w14:textId="77777777" w:rsidR="004753DD" w:rsidRDefault="004753DD" w:rsidP="004753DD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3D1BF9F9" w14:textId="74F08119" w:rsidR="000D6691" w:rsidRDefault="000D6691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49959DDC" w14:textId="535778BB" w:rsidR="00B92269" w:rsidRDefault="00B92269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5DBF79CB" w14:textId="15B0551D" w:rsidR="001D68E9" w:rsidRDefault="001D68E9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28BDF062" w14:textId="19BBB7F2" w:rsidR="001D68E9" w:rsidRDefault="001D68E9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518C784F" w14:textId="77777777" w:rsidR="001D68E9" w:rsidRDefault="001D68E9" w:rsidP="00872522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88"/>
              <w:gridCol w:w="1462"/>
              <w:gridCol w:w="1761"/>
              <w:gridCol w:w="1701"/>
              <w:gridCol w:w="1701"/>
            </w:tblGrid>
            <w:tr w:rsidR="001D68E9" w14:paraId="6B8357C6" w14:textId="77777777" w:rsidTr="001D68E9">
              <w:trPr>
                <w:trHeight w:val="288"/>
              </w:trPr>
              <w:tc>
                <w:tcPr>
                  <w:tcW w:w="687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ED591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Škola - projekt - asistinti (MPC - POP)- z vl. príjmov - KZ xACx</w:t>
                  </w:r>
                </w:p>
                <w:p w14:paraId="0B40E32A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AAEBEE9" w14:textId="0C53F093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ED44C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D68E9" w14:paraId="31A653ED" w14:textId="77777777" w:rsidTr="001D68E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B43E9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91A96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DB746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CB68C" w14:textId="77777777" w:rsidR="001D68E9" w:rsidRDefault="001D68E9" w:rsidP="001D68E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3E297" w14:textId="77777777" w:rsidR="001D68E9" w:rsidRDefault="001D68E9" w:rsidP="001D68E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B88A81" w14:textId="77777777" w:rsidR="001D68E9" w:rsidRDefault="001D68E9" w:rsidP="001D68E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1D68E9" w14:paraId="30A37078" w14:textId="77777777" w:rsidTr="001D68E9">
              <w:trPr>
                <w:trHeight w:val="912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EE7580" w14:textId="77777777" w:rsidR="001D68E9" w:rsidRDefault="001D68E9" w:rsidP="001D68E9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Položka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1E9780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Osobné náklady celkom, vrátane osobitných dotácií</w:t>
                  </w:r>
                </w:p>
              </w:tc>
              <w:tc>
                <w:tcPr>
                  <w:tcW w:w="17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FA6E7D6" w14:textId="77777777" w:rsidR="001D68E9" w:rsidRDefault="001D68E9" w:rsidP="001D68E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83 157,13 €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118CA86" w14:textId="77777777" w:rsidR="001D68E9" w:rsidRDefault="001D68E9" w:rsidP="001D68E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13 921,25 €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F1E18A0" w14:textId="77777777" w:rsidR="001D68E9" w:rsidRDefault="001D68E9" w:rsidP="001D68E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69 235,88 € </w:t>
                  </w:r>
                </w:p>
              </w:tc>
            </w:tr>
            <w:tr w:rsidR="001D68E9" w14:paraId="74D2A7A7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E6F5F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611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33B14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Tarifné platy + náhrady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1E7339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53 172,10 €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74B2A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10 210,87 €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B74F6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42 961,23 € </w:t>
                  </w:r>
                </w:p>
              </w:tc>
            </w:tr>
            <w:tr w:rsidR="001D68E9" w14:paraId="271898AD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6AAE7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612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735DC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Príplatky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2A1FE0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4 407,02 €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59E07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5C6196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4 407,02 € </w:t>
                  </w:r>
                </w:p>
              </w:tc>
            </w:tr>
            <w:tr w:rsidR="001D68E9" w14:paraId="3FFB92C7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5EEE0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614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C9F2E5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Odmeny +jubilejné odmeny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82E35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17A33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9D34B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1D68E9" w14:paraId="5A6E9F1E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3AAE6A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620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41F558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Odvody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E0CD6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24 606,29 €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EF1562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3 568,44 €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40773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21 037,85 € </w:t>
                  </w:r>
                </w:p>
              </w:tc>
            </w:tr>
            <w:tr w:rsidR="001D68E9" w14:paraId="1F981497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DB21A8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642015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7091D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Náhrada mzdy PN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58AA2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971,72 €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42E50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141,94 €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17525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829,78 € </w:t>
                  </w:r>
                </w:p>
              </w:tc>
            </w:tr>
            <w:tr w:rsidR="001D68E9" w14:paraId="18A927A4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A99FB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642013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D203B5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Odchodné-bez odvodov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50235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281B9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76136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-   € </w:t>
                  </w:r>
                </w:p>
              </w:tc>
            </w:tr>
            <w:tr w:rsidR="001D68E9" w14:paraId="5E177FF2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27BF2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39C3B0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150970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7C0A3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61AD5" w14:textId="77777777" w:rsidR="001D68E9" w:rsidRDefault="001D68E9" w:rsidP="001D68E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8053B1" w14:textId="77777777" w:rsidR="001D68E9" w:rsidRDefault="001D68E9" w:rsidP="001D68E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D68E9" w14:paraId="04B186BF" w14:textId="77777777" w:rsidTr="001D68E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44E2A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8786A3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4EBD6" w14:textId="77777777" w:rsidR="001D68E9" w:rsidRDefault="001D68E9" w:rsidP="001D68E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185BAA" w14:textId="77777777" w:rsidR="001D68E9" w:rsidRDefault="001D68E9" w:rsidP="001D68E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16A51" w14:textId="77777777" w:rsidR="001D68E9" w:rsidRDefault="001D68E9" w:rsidP="001D68E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86BEF" w14:textId="77777777" w:rsidR="001D68E9" w:rsidRDefault="001D68E9" w:rsidP="001D68E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rozdiel</w:t>
                  </w:r>
                </w:p>
              </w:tc>
            </w:tr>
            <w:tr w:rsidR="001D68E9" w14:paraId="1E2C53D3" w14:textId="77777777" w:rsidTr="001D68E9">
              <w:trPr>
                <w:trHeight w:val="114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AF57A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630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2F8039D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7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FAF8404" w14:textId="77777777" w:rsidR="001D68E9" w:rsidRDefault="001D68E9" w:rsidP="001D68E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1 282,30 €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B684918" w14:textId="77777777" w:rsidR="001D68E9" w:rsidRDefault="001D68E9" w:rsidP="001D68E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1 620,00 €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AC90E09" w14:textId="77777777" w:rsidR="001D68E9" w:rsidRDefault="001D68E9" w:rsidP="001D68E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226,87 € </w:t>
                  </w:r>
                </w:p>
              </w:tc>
            </w:tr>
            <w:tr w:rsidR="001D68E9" w14:paraId="25B601D0" w14:textId="77777777" w:rsidTr="001D68E9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8965A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633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CCC639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Materiál, učeb.pomôcky...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D5624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1 055,43 €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E9054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1 620,00 €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393B3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             564,57 € </w:t>
                  </w:r>
                </w:p>
              </w:tc>
            </w:tr>
            <w:tr w:rsidR="001D68E9" w14:paraId="26923372" w14:textId="77777777" w:rsidTr="001D68E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703C7D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637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CD5C88" w14:textId="77777777" w:rsidR="001D68E9" w:rsidRDefault="001D68E9" w:rsidP="001D68E9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Služby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638E11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226,87 €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E1904" w14:textId="77777777" w:rsidR="001D68E9" w:rsidRDefault="001D68E9" w:rsidP="001D68E9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2653A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226,87 € </w:t>
                  </w:r>
                </w:p>
              </w:tc>
            </w:tr>
            <w:tr w:rsidR="001D68E9" w14:paraId="38AC608C" w14:textId="77777777" w:rsidTr="001D68E9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CC59EE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642</w:t>
                  </w:r>
                </w:p>
              </w:tc>
              <w:tc>
                <w:tcPr>
                  <w:tcW w:w="245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2DE2C" w14:textId="77777777" w:rsidR="001D68E9" w:rsidRDefault="001D68E9" w:rsidP="001D68E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Transfery jednotlivcom</w:t>
                  </w:r>
                </w:p>
              </w:tc>
              <w:tc>
                <w:tcPr>
                  <w:tcW w:w="17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32083D" w14:textId="77777777" w:rsidR="001D68E9" w:rsidRDefault="001D68E9" w:rsidP="001D68E9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92,86 €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2E639" w14:textId="77777777" w:rsidR="001D68E9" w:rsidRDefault="001D68E9" w:rsidP="001D68E9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F6FF48" w14:textId="77777777" w:rsidR="001D68E9" w:rsidRDefault="001D68E9" w:rsidP="001D68E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92,86 € </w:t>
                  </w:r>
                </w:p>
              </w:tc>
            </w:tr>
          </w:tbl>
          <w:p w14:paraId="75519E2B" w14:textId="048D4B49" w:rsidR="000D6691" w:rsidRDefault="000D6691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3B8DE3AC" w14:textId="77777777" w:rsidR="00306680" w:rsidRPr="00090E62" w:rsidRDefault="00306680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572DDA38" w14:textId="209BA310" w:rsidR="00E257BC" w:rsidRDefault="00966CDC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 xml:space="preserve">Vrátené finančné prostriedky z vlastných príjmov škola použila v súlade so zákonom o rozpočtových pravidlách a internými pokynmi zriaďovateľa.  </w:t>
            </w:r>
            <w:r w:rsidR="00E257BC">
              <w:rPr>
                <w:sz w:val="22"/>
                <w:szCs w:val="22"/>
              </w:rPr>
              <w:t>Boli oproti roku 202</w:t>
            </w:r>
            <w:r w:rsidR="004753DD">
              <w:rPr>
                <w:sz w:val="22"/>
                <w:szCs w:val="22"/>
              </w:rPr>
              <w:t>1</w:t>
            </w:r>
            <w:r w:rsidR="00E257BC">
              <w:rPr>
                <w:sz w:val="22"/>
                <w:szCs w:val="22"/>
              </w:rPr>
              <w:t xml:space="preserve"> </w:t>
            </w:r>
            <w:r w:rsidR="004753DD">
              <w:rPr>
                <w:sz w:val="22"/>
                <w:szCs w:val="22"/>
              </w:rPr>
              <w:t>vyššie o takmer 30 000 €</w:t>
            </w:r>
            <w:r w:rsidR="00E257BC">
              <w:rPr>
                <w:sz w:val="22"/>
                <w:szCs w:val="22"/>
              </w:rPr>
              <w:t xml:space="preserve">. </w:t>
            </w:r>
            <w:r w:rsidR="00FA48E5">
              <w:rPr>
                <w:sz w:val="22"/>
                <w:szCs w:val="22"/>
              </w:rPr>
              <w:t>Celkové vlastné príjmy, ktoré škola získala v roku 202</w:t>
            </w:r>
            <w:r w:rsidR="0027150C">
              <w:rPr>
                <w:sz w:val="22"/>
                <w:szCs w:val="22"/>
              </w:rPr>
              <w:t>2</w:t>
            </w:r>
            <w:r w:rsidR="00FA48E5">
              <w:rPr>
                <w:sz w:val="22"/>
                <w:szCs w:val="22"/>
              </w:rPr>
              <w:t xml:space="preserve"> (môžete ich vidieť na tabuľke pod textom) boli </w:t>
            </w:r>
            <w:r w:rsidR="00DE2DA7">
              <w:rPr>
                <w:sz w:val="22"/>
                <w:szCs w:val="22"/>
              </w:rPr>
              <w:t>vyš</w:t>
            </w:r>
            <w:r w:rsidR="00FA48E5">
              <w:rPr>
                <w:sz w:val="22"/>
                <w:szCs w:val="22"/>
              </w:rPr>
              <w:t>šie o</w:t>
            </w:r>
            <w:r w:rsidR="0027150C">
              <w:rPr>
                <w:sz w:val="22"/>
                <w:szCs w:val="22"/>
              </w:rPr>
              <w:t> 33 344,36</w:t>
            </w:r>
            <w:r w:rsidR="00FA48E5">
              <w:rPr>
                <w:sz w:val="22"/>
                <w:szCs w:val="22"/>
              </w:rPr>
              <w:t xml:space="preserve"> €</w:t>
            </w:r>
            <w:r w:rsidR="0027150C">
              <w:rPr>
                <w:sz w:val="22"/>
                <w:szCs w:val="22"/>
              </w:rPr>
              <w:t xml:space="preserve"> (ak do prepočtu nezahrnieme príjmy z projektu „Šanca pre všetkých“, ktorý v r. 2021 skončil</w:t>
            </w:r>
            <w:r w:rsidR="00DE2DA7">
              <w:rPr>
                <w:sz w:val="22"/>
                <w:szCs w:val="22"/>
              </w:rPr>
              <w:t>,</w:t>
            </w:r>
            <w:r w:rsidR="0027150C">
              <w:rPr>
                <w:sz w:val="22"/>
                <w:szCs w:val="22"/>
              </w:rPr>
              <w:t xml:space="preserve"> vo výške</w:t>
            </w:r>
            <w:r w:rsidR="00DE2DA7">
              <w:rPr>
                <w:sz w:val="22"/>
                <w:szCs w:val="22"/>
              </w:rPr>
              <w:t xml:space="preserve"> 7 377,53 €)</w:t>
            </w:r>
            <w:r w:rsidR="00FA48E5">
              <w:rPr>
                <w:sz w:val="22"/>
                <w:szCs w:val="22"/>
              </w:rPr>
              <w:t xml:space="preserve">. </w:t>
            </w:r>
            <w:r w:rsidR="00DE2DA7">
              <w:rPr>
                <w:sz w:val="22"/>
                <w:szCs w:val="22"/>
              </w:rPr>
              <w:t>Nakoľko škola vyučovala dištančne len minimálne, zvýšila svoje príjmy na všetkých príjmových položkách, čo pomohlo vyfinancovať vrátenými vlastnými príjmami bežné</w:t>
            </w:r>
            <w:r w:rsidR="001D68E9">
              <w:rPr>
                <w:sz w:val="22"/>
                <w:szCs w:val="22"/>
              </w:rPr>
              <w:t xml:space="preserve"> aj kapitálové</w:t>
            </w:r>
            <w:r w:rsidR="00DE2DA7">
              <w:rPr>
                <w:sz w:val="22"/>
                <w:szCs w:val="22"/>
              </w:rPr>
              <w:t xml:space="preserve"> výdavky, potrebné na bezproblémový chod školy. </w:t>
            </w:r>
          </w:p>
          <w:p w14:paraId="4AEA7928" w14:textId="77777777" w:rsidR="00B92269" w:rsidRDefault="00E257BC" w:rsidP="00E257BC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>Tieto prostriedky boli použité tak v škole, ako aj v ŠKD a ŠJ, ako môžeme detailne vidieť v tabuľke nad textom. Z tých</w:t>
            </w:r>
            <w:r w:rsidR="00AE61D2">
              <w:rPr>
                <w:sz w:val="22"/>
                <w:szCs w:val="22"/>
              </w:rPr>
              <w:t>to prostriedkov bola financovaná</w:t>
            </w:r>
            <w:r w:rsidR="000D6691">
              <w:rPr>
                <w:sz w:val="22"/>
                <w:szCs w:val="22"/>
              </w:rPr>
              <w:t xml:space="preserve"> </w:t>
            </w:r>
            <w:r w:rsidR="00AE61D2">
              <w:rPr>
                <w:sz w:val="22"/>
                <w:szCs w:val="22"/>
              </w:rPr>
              <w:t>podstatná časť prevádzkových</w:t>
            </w:r>
            <w:r w:rsidR="000D6691">
              <w:rPr>
                <w:sz w:val="22"/>
                <w:szCs w:val="22"/>
              </w:rPr>
              <w:t xml:space="preserve"> náklad</w:t>
            </w:r>
            <w:r w:rsidR="00AE61D2">
              <w:rPr>
                <w:sz w:val="22"/>
                <w:szCs w:val="22"/>
              </w:rPr>
              <w:t>ov</w:t>
            </w:r>
            <w:r w:rsidR="000D6691">
              <w:rPr>
                <w:sz w:val="22"/>
                <w:szCs w:val="22"/>
              </w:rPr>
              <w:t xml:space="preserve"> ŠKD aj ŠJ. </w:t>
            </w:r>
            <w:r w:rsidR="00AE61D2">
              <w:rPr>
                <w:sz w:val="22"/>
                <w:szCs w:val="22"/>
              </w:rPr>
              <w:t xml:space="preserve">Boli </w:t>
            </w:r>
            <w:r w:rsidR="000D6691">
              <w:rPr>
                <w:sz w:val="22"/>
                <w:szCs w:val="22"/>
              </w:rPr>
              <w:t>použit</w:t>
            </w:r>
            <w:r w:rsidR="00AE61D2">
              <w:rPr>
                <w:sz w:val="22"/>
                <w:szCs w:val="22"/>
              </w:rPr>
              <w:t>é</w:t>
            </w:r>
            <w:r w:rsidR="000D6691">
              <w:rPr>
                <w:sz w:val="22"/>
                <w:szCs w:val="22"/>
              </w:rPr>
              <w:t xml:space="preserve"> hlavne na dofinancovanie úhrad energií, nákup učebných pomôcok a drobného spotrebného materiálu (hygienického, kancelárskeho, materiálu na opravu a údržbu </w:t>
            </w:r>
            <w:r w:rsidR="004E5022">
              <w:rPr>
                <w:sz w:val="22"/>
                <w:szCs w:val="22"/>
              </w:rPr>
              <w:t>strojov v ŠJ</w:t>
            </w:r>
            <w:r w:rsidR="000D6691">
              <w:rPr>
                <w:sz w:val="22"/>
                <w:szCs w:val="22"/>
              </w:rPr>
              <w:t>).</w:t>
            </w:r>
            <w:r w:rsidR="00DE2DA7">
              <w:rPr>
                <w:sz w:val="22"/>
                <w:szCs w:val="22"/>
              </w:rPr>
              <w:t xml:space="preserve"> V rámci opráv a údržby boli opravované sociálne zariadenia v priestoroch školy.</w:t>
            </w:r>
            <w:r w:rsidR="006A10CD">
              <w:rPr>
                <w:sz w:val="22"/>
                <w:szCs w:val="22"/>
              </w:rPr>
              <w:t xml:space="preserve"> </w:t>
            </w:r>
            <w:r w:rsidR="007A299E">
              <w:rPr>
                <w:sz w:val="22"/>
                <w:szCs w:val="22"/>
              </w:rPr>
              <w:t xml:space="preserve">Zakúpil sa aj </w:t>
            </w:r>
            <w:r w:rsidR="00B92269">
              <w:rPr>
                <w:sz w:val="22"/>
                <w:szCs w:val="22"/>
              </w:rPr>
              <w:t>už spomínaný odsávač pár do školskej kuchyne a veľkokapacitný kopírovací stroj.</w:t>
            </w:r>
          </w:p>
          <w:p w14:paraId="756F377C" w14:textId="62715C48" w:rsidR="000D6691" w:rsidRDefault="00B92269" w:rsidP="00E257BC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V samostatnej tabuľke nad textom môžeme vidieť čerpanie finančných prostriedkov na financovanie asistentov učiteľa v rámci už spomínaného pokračujúceho projektu. Finančné prostriedky na tento účel sú prevádzané na bankový účet zriaďovateľa (u neho je teda účtovaná aj príjmová položka) a následne nám ich zriaďovateľ prevedie na náš účet, ale z dôvodu zamedzenia duplicitného účtovania príjmov, škola tieto príjmy vo svojom účtovníctve účtuje bez príjmovej položky. Po pripísaní na bankový účet školy v rámci vlastných príjmov škola tieto používa vo výdavkoch s dôrazom na ich účel. Nakoľko v roku 2022 spomínaný projekt „bežal“ celý rok (na rozdiel od r. 2021, kde bol iba časť roka), finančné prostriedky boli použité vo väčšom objeme. Skladbu použitia môžete vidieť v predmetnej tabuľke.</w:t>
            </w:r>
          </w:p>
          <w:p w14:paraId="15198743" w14:textId="7404C10E" w:rsidR="00B92269" w:rsidRPr="00090E62" w:rsidRDefault="00B92269" w:rsidP="00E257BC">
            <w:pPr>
              <w:ind w:right="1025"/>
              <w:jc w:val="both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66E4EB" w14:textId="77777777" w:rsidR="000D6691" w:rsidRPr="00426FBC" w:rsidRDefault="000D6691" w:rsidP="008C0B07">
            <w:pPr>
              <w:rPr>
                <w:color w:val="000000"/>
                <w:lang w:eastAsia="sk-SK"/>
              </w:rPr>
            </w:pPr>
          </w:p>
        </w:tc>
      </w:tr>
    </w:tbl>
    <w:p w14:paraId="41DEA2F8" w14:textId="39A0C139" w:rsidR="000D6691" w:rsidRDefault="000D6691" w:rsidP="008C0B07">
      <w:pPr>
        <w:pStyle w:val="Nadpis1"/>
        <w:jc w:val="left"/>
        <w:rPr>
          <w:i/>
          <w:iCs/>
        </w:rPr>
      </w:pPr>
      <w:r w:rsidRPr="00022EE2">
        <w:rPr>
          <w:i/>
          <w:iCs/>
        </w:rPr>
        <w:lastRenderedPageBreak/>
        <w:t>Príjmy školy, pripísané v r. 20</w:t>
      </w:r>
      <w:r w:rsidR="005746D1">
        <w:rPr>
          <w:i/>
          <w:iCs/>
        </w:rPr>
        <w:t>2</w:t>
      </w:r>
      <w:r w:rsidR="00B42262">
        <w:rPr>
          <w:i/>
          <w:iCs/>
        </w:rPr>
        <w:t>2</w:t>
      </w:r>
      <w:r w:rsidRPr="00022EE2">
        <w:rPr>
          <w:i/>
          <w:iCs/>
        </w:rPr>
        <w:t xml:space="preserve"> na príjmový účet školy:</w:t>
      </w:r>
    </w:p>
    <w:p w14:paraId="151EEBB9" w14:textId="77777777" w:rsidR="000D6691" w:rsidRPr="0099652D" w:rsidRDefault="000D6691" w:rsidP="0099652D"/>
    <w:tbl>
      <w:tblPr>
        <w:tblW w:w="73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1701"/>
      </w:tblGrid>
      <w:tr w:rsidR="00B42262" w14:paraId="0FAE3782" w14:textId="77777777" w:rsidTr="00B42262">
        <w:trPr>
          <w:trHeight w:val="291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278C3AD" w14:textId="77777777" w:rsidR="00B42262" w:rsidRDefault="00B42262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</w:rPr>
              <w:t xml:space="preserve">Druh príjmu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79F7D" w14:textId="77777777" w:rsidR="00B42262" w:rsidRDefault="00B422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V eurách </w:t>
            </w:r>
          </w:p>
        </w:tc>
      </w:tr>
      <w:tr w:rsidR="00B42262" w14:paraId="75020C3D" w14:textId="77777777" w:rsidTr="00B42262">
        <w:trPr>
          <w:trHeight w:val="288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3970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Príjmy z prenájmu priestorov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54E8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4 914,44 € </w:t>
            </w:r>
          </w:p>
        </w:tc>
      </w:tr>
      <w:tr w:rsidR="00B42262" w14:paraId="1A6762BE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76B2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Príjmy za poškodené učebnice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724B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2262" w14:paraId="6C730EE8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CF0B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Príjmy – MŠ Detský svet – pre ŠJ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9F6E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7 042,82 € </w:t>
            </w:r>
          </w:p>
        </w:tc>
      </w:tr>
      <w:tr w:rsidR="00B42262" w14:paraId="39704495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D338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Poplatok za škol.klub detí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C56A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20 620,60 € </w:t>
            </w:r>
          </w:p>
        </w:tc>
      </w:tr>
      <w:tr w:rsidR="00B42262" w14:paraId="1C469E9E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D023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Príjmy z dobropisov min.rokov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978B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3 959,42 € </w:t>
            </w:r>
          </w:p>
        </w:tc>
      </w:tr>
      <w:tr w:rsidR="00B42262" w14:paraId="616413DD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FD52F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Príjmy z rež.nákl.na stravovanie - ŠJ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5859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11 321,46 € </w:t>
            </w:r>
          </w:p>
        </w:tc>
      </w:tr>
      <w:tr w:rsidR="00B42262" w14:paraId="2AFF7D83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F4B4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Dary, granty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7B0D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5 147,32 € </w:t>
            </w:r>
          </w:p>
        </w:tc>
      </w:tr>
      <w:tr w:rsidR="00B42262" w14:paraId="33234AB0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D1A0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Príjem z vratiek roč. zúč. zdravot. pois.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A217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2262" w14:paraId="65169D52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FEDA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Refun. energie-projekt Rajo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E4E3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87,12 € </w:t>
            </w:r>
          </w:p>
        </w:tc>
      </w:tr>
      <w:tr w:rsidR="00B42262" w14:paraId="0DBDEE5A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5038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LVVK-od rodičov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50BA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3 135,30 € </w:t>
            </w:r>
          </w:p>
        </w:tc>
      </w:tr>
      <w:tr w:rsidR="00B42262" w14:paraId="27BDA69E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B30F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Škola v prírode-od rodičov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2169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5 348,00 € </w:t>
            </w:r>
          </w:p>
        </w:tc>
      </w:tr>
      <w:tr w:rsidR="00B42262" w14:paraId="7BCA7989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BD69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Čipy do ŠJ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3FF4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80,00 € </w:t>
            </w:r>
          </w:p>
        </w:tc>
      </w:tr>
      <w:tr w:rsidR="00B42262" w14:paraId="6F9B57FD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A56D64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Na učeb.pom.pre 1.roč.-od rodičov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491A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354,40 € </w:t>
            </w:r>
          </w:p>
        </w:tc>
      </w:tr>
      <w:tr w:rsidR="00B42262" w14:paraId="6922DE39" w14:textId="77777777" w:rsidTr="00B42262">
        <w:trPr>
          <w:trHeight w:val="291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8B742E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Ostatné príjmy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D883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175,74 € </w:t>
            </w:r>
          </w:p>
        </w:tc>
      </w:tr>
      <w:tr w:rsidR="00B42262" w14:paraId="58574384" w14:textId="77777777" w:rsidTr="00B42262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9B4193B" w14:textId="77777777" w:rsidR="00B42262" w:rsidRDefault="00B422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 P O L U 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8D530" w14:textId="77777777" w:rsidR="00B42262" w:rsidRDefault="00B42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62 186,62 € </w:t>
            </w:r>
          </w:p>
        </w:tc>
      </w:tr>
    </w:tbl>
    <w:p w14:paraId="5745398E" w14:textId="77777777" w:rsidR="000D6691" w:rsidRDefault="000D6691" w:rsidP="008C0B07">
      <w:pPr>
        <w:pStyle w:val="Nadpis1"/>
        <w:jc w:val="left"/>
        <w:rPr>
          <w:i/>
          <w:iCs/>
        </w:rPr>
      </w:pPr>
      <w:r w:rsidRPr="00317612">
        <w:rPr>
          <w:i/>
          <w:iCs/>
        </w:rPr>
        <w:t xml:space="preserve">   </w:t>
      </w:r>
    </w:p>
    <w:p w14:paraId="15BDE62A" w14:textId="77777777" w:rsidR="000D6691" w:rsidRPr="00317612" w:rsidRDefault="000D6691" w:rsidP="008C0B07">
      <w:pPr>
        <w:pStyle w:val="Nadpis1"/>
        <w:jc w:val="left"/>
        <w:rPr>
          <w:i/>
          <w:iCs/>
        </w:rPr>
      </w:pPr>
      <w:r w:rsidRPr="00317612">
        <w:rPr>
          <w:i/>
          <w:iCs/>
        </w:rPr>
        <w:t xml:space="preserve">Sociálny fond   </w:t>
      </w:r>
    </w:p>
    <w:p w14:paraId="31338A1D" w14:textId="77777777" w:rsidR="000D6691" w:rsidRPr="00DF6980" w:rsidRDefault="000D6691" w:rsidP="008C0B07">
      <w:pPr>
        <w:rPr>
          <w:b/>
          <w:bCs/>
          <w:u w:val="single"/>
        </w:rPr>
      </w:pPr>
      <w:r w:rsidRPr="00DF6980">
        <w:rPr>
          <w:b/>
          <w:bCs/>
          <w:u w:val="single"/>
        </w:rPr>
        <w:t xml:space="preserve"> </w:t>
      </w:r>
    </w:p>
    <w:tbl>
      <w:tblPr>
        <w:tblW w:w="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640"/>
      </w:tblGrid>
      <w:tr w:rsidR="00B42262" w14:paraId="1AF25960" w14:textId="77777777" w:rsidTr="00B42262">
        <w:trPr>
          <w:trHeight w:val="31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BAAD" w14:textId="77777777" w:rsidR="00B42262" w:rsidRDefault="00B42262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Tvorba za rok 2022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74A3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10 076,02 € </w:t>
            </w:r>
          </w:p>
        </w:tc>
      </w:tr>
      <w:tr w:rsidR="00B42262" w14:paraId="1ABC5306" w14:textId="77777777" w:rsidTr="00B42262">
        <w:trPr>
          <w:trHeight w:val="31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6847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Zostatok k 31.12.2021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52AB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2 819,19 € </w:t>
            </w:r>
          </w:p>
        </w:tc>
      </w:tr>
      <w:tr w:rsidR="00B42262" w14:paraId="139FB82A" w14:textId="77777777" w:rsidTr="00B42262">
        <w:trPr>
          <w:trHeight w:val="324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CC0B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Ostatné príjmy SF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AB0B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2262" w14:paraId="39866A64" w14:textId="77777777" w:rsidTr="00B42262">
        <w:trPr>
          <w:trHeight w:val="324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68DDB3" w14:textId="77777777" w:rsidR="00B42262" w:rsidRDefault="00B422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 p o l u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E0FF1" w14:textId="77777777" w:rsidR="00B42262" w:rsidRDefault="00B4226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12 895,21 € </w:t>
            </w:r>
          </w:p>
        </w:tc>
      </w:tr>
      <w:tr w:rsidR="00B42262" w14:paraId="772C4D78" w14:textId="77777777" w:rsidTr="00B42262">
        <w:trPr>
          <w:trHeight w:val="288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4FFF" w14:textId="77777777" w:rsidR="00B42262" w:rsidRDefault="00B4226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E965" w14:textId="77777777" w:rsidR="00B42262" w:rsidRDefault="00B42262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6FA1" w14:textId="77777777" w:rsidR="00B42262" w:rsidRDefault="00B42262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4636" w14:textId="77777777" w:rsidR="00B42262" w:rsidRDefault="00B42262">
            <w:pPr>
              <w:rPr>
                <w:sz w:val="20"/>
                <w:szCs w:val="20"/>
              </w:rPr>
            </w:pPr>
          </w:p>
        </w:tc>
      </w:tr>
      <w:tr w:rsidR="00B42262" w14:paraId="0CDC1B50" w14:textId="77777777" w:rsidTr="00B42262">
        <w:trPr>
          <w:trHeight w:val="312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FC36" w14:textId="77777777" w:rsidR="00B42262" w:rsidRDefault="00B422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Výdavky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9B21" w14:textId="77777777" w:rsidR="00B42262" w:rsidRDefault="00B42262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1009" w14:textId="77777777" w:rsidR="00B42262" w:rsidRDefault="00B42262">
            <w:pPr>
              <w:rPr>
                <w:sz w:val="20"/>
                <w:szCs w:val="20"/>
              </w:rPr>
            </w:pPr>
          </w:p>
        </w:tc>
      </w:tr>
      <w:tr w:rsidR="00B42262" w14:paraId="02445CA5" w14:textId="77777777" w:rsidTr="00B42262">
        <w:trPr>
          <w:trHeight w:val="31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9112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Príspevok na stravovanie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448A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2 588,26 € </w:t>
            </w:r>
          </w:p>
        </w:tc>
      </w:tr>
      <w:tr w:rsidR="00B42262" w14:paraId="68909EDF" w14:textId="77777777" w:rsidTr="00B42262">
        <w:trPr>
          <w:trHeight w:val="31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D8BF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Príspevok na dopravu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D0B5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412,15 € </w:t>
            </w:r>
          </w:p>
        </w:tc>
      </w:tr>
      <w:tr w:rsidR="00B42262" w14:paraId="7D6FA527" w14:textId="77777777" w:rsidTr="00B42262">
        <w:trPr>
          <w:trHeight w:val="609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BB92A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Dary-výročie, odchod do dôchodku, narodenie dieťaťa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462B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385,96 € </w:t>
            </w:r>
          </w:p>
        </w:tc>
      </w:tr>
      <w:tr w:rsidR="00B42262" w14:paraId="78BC03D3" w14:textId="77777777" w:rsidTr="00B42262">
        <w:trPr>
          <w:trHeight w:val="31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B896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Darčekové poukážky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303A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4 066,90 € </w:t>
            </w:r>
          </w:p>
        </w:tc>
      </w:tr>
      <w:tr w:rsidR="00B42262" w14:paraId="50665226" w14:textId="77777777" w:rsidTr="00B42262">
        <w:trPr>
          <w:trHeight w:val="31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9EED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Sociálna výpomoc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CBE0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2262" w14:paraId="765F02BF" w14:textId="77777777" w:rsidTr="00B42262">
        <w:trPr>
          <w:trHeight w:val="324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6CBA" w14:textId="77777777" w:rsidR="00B42262" w:rsidRDefault="00B42262">
            <w:pPr>
              <w:rPr>
                <w:color w:val="000000"/>
              </w:rPr>
            </w:pPr>
            <w:r>
              <w:rPr>
                <w:color w:val="000000"/>
              </w:rPr>
              <w:t>Ostatné čerpanie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C4C9" w14:textId="77777777" w:rsidR="00B42262" w:rsidRDefault="00B42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2262" w14:paraId="2C1AD819" w14:textId="77777777" w:rsidTr="00B42262">
        <w:trPr>
          <w:trHeight w:val="324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F959C7" w14:textId="77777777" w:rsidR="00B42262" w:rsidRDefault="00B422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 p o l u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5F73E" w14:textId="77777777" w:rsidR="00B42262" w:rsidRDefault="00B4226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7 453,27 € </w:t>
            </w:r>
          </w:p>
        </w:tc>
      </w:tr>
    </w:tbl>
    <w:p w14:paraId="7E668721" w14:textId="77777777" w:rsidR="000D6691" w:rsidRDefault="000D6691" w:rsidP="008C0B07"/>
    <w:p w14:paraId="3E5B09B4" w14:textId="70AF87D6" w:rsidR="000D6691" w:rsidRDefault="000D6691" w:rsidP="008C0B07">
      <w:r>
        <w:t>Zostatok účtu sociálneho fondu k 31. 12. 20</w:t>
      </w:r>
      <w:r w:rsidR="00D54570">
        <w:t>2</w:t>
      </w:r>
      <w:r w:rsidR="00B42262">
        <w:t>2</w:t>
      </w:r>
      <w:r>
        <w:t xml:space="preserve"> činil </w:t>
      </w:r>
      <w:r w:rsidR="00B42262">
        <w:t>5 441,94</w:t>
      </w:r>
      <w:r>
        <w:t xml:space="preserve"> eur.</w:t>
      </w:r>
    </w:p>
    <w:p w14:paraId="45901D06" w14:textId="77777777" w:rsidR="000D6691" w:rsidRPr="00CE34A6" w:rsidRDefault="000D6691" w:rsidP="008C0B07"/>
    <w:p w14:paraId="44B658D4" w14:textId="5B3B124F" w:rsidR="000D6691" w:rsidRDefault="00B42262" w:rsidP="0093494E">
      <w:pPr>
        <w:jc w:val="both"/>
      </w:pPr>
      <w:r>
        <w:t xml:space="preserve">      </w:t>
      </w:r>
      <w:r w:rsidR="000D6691">
        <w:t>Škola vykazuje k 31. 12.</w:t>
      </w:r>
      <w:r w:rsidR="00F505AA">
        <w:t xml:space="preserve"> </w:t>
      </w:r>
      <w:r w:rsidR="000D6691">
        <w:t>20</w:t>
      </w:r>
      <w:r w:rsidR="00D54570">
        <w:t>2</w:t>
      </w:r>
      <w:r w:rsidR="009679F1">
        <w:t>1</w:t>
      </w:r>
      <w:r w:rsidR="000D6691">
        <w:t xml:space="preserve"> záväzky z titulu predpisu miezd na mesiac 12/20</w:t>
      </w:r>
      <w:r w:rsidR="00D54570">
        <w:t>2</w:t>
      </w:r>
      <w:r>
        <w:t>2</w:t>
      </w:r>
      <w:r w:rsidR="000D6691">
        <w:t>, odvedených na depozitný účet školy a vyplatených vo výplatnom termíne 1/20</w:t>
      </w:r>
      <w:r w:rsidR="007A299E">
        <w:t>2</w:t>
      </w:r>
      <w:r>
        <w:t>3</w:t>
      </w:r>
      <w:r w:rsidR="000D6691">
        <w:t>.</w:t>
      </w:r>
    </w:p>
    <w:p w14:paraId="043A5A03" w14:textId="17EB4F9F" w:rsidR="00B42262" w:rsidRPr="00A57173" w:rsidRDefault="00B42262" w:rsidP="0093494E">
      <w:pPr>
        <w:jc w:val="both"/>
      </w:pPr>
      <w:r>
        <w:t xml:space="preserve">      Chceme tiež podotknúť, že škola využila možnosť, ktorú jej dáva §</w:t>
      </w:r>
      <w:r w:rsidR="00167634">
        <w:t xml:space="preserve"> 19</w:t>
      </w:r>
      <w:r>
        <w:t xml:space="preserve"> </w:t>
      </w:r>
      <w:r w:rsidR="00B133A2">
        <w:t xml:space="preserve">ods. 2 </w:t>
      </w:r>
      <w:r w:rsidR="00EF3F0A">
        <w:t>zákona č. 523/2004 Z. z. Zákon o rozpočtových pravidlách verejnej správy...</w:t>
      </w:r>
      <w:r w:rsidR="00167634">
        <w:t xml:space="preserve"> a ušetrila 11 136,77 €, ktoré presunula na účet zriaďovateľa ako nedočerpané finančné prostriedky roka 2022 s ich následným použitím </w:t>
      </w:r>
      <w:r w:rsidR="00C768A8">
        <w:t>v</w:t>
      </w:r>
      <w:r w:rsidR="00167634">
        <w:t xml:space="preserve"> nasledujúc</w:t>
      </w:r>
      <w:r w:rsidR="00C768A8">
        <w:t>om</w:t>
      </w:r>
      <w:r w:rsidR="00167634">
        <w:t xml:space="preserve"> rozpočtov</w:t>
      </w:r>
      <w:r w:rsidR="00C768A8">
        <w:t>om</w:t>
      </w:r>
      <w:r w:rsidR="00167634">
        <w:t xml:space="preserve"> rok</w:t>
      </w:r>
      <w:r w:rsidR="00C768A8">
        <w:t>u</w:t>
      </w:r>
      <w:r w:rsidR="00167634">
        <w:t xml:space="preserve">. Takýmto spôsobom sa snaží zmierniť </w:t>
      </w:r>
      <w:r w:rsidR="00C768A8">
        <w:t xml:space="preserve">nepriaznivý </w:t>
      </w:r>
      <w:r w:rsidR="00167634">
        <w:t xml:space="preserve">dopad z titulu avizovaného rastu cien energií v nasledujúcom roku. </w:t>
      </w:r>
    </w:p>
    <w:p w14:paraId="227A9B34" w14:textId="7FE6A2FE" w:rsidR="002D1393" w:rsidRDefault="000D6691" w:rsidP="008C0B07">
      <w:r>
        <w:t xml:space="preserve"> </w:t>
      </w:r>
    </w:p>
    <w:p w14:paraId="4E07F245" w14:textId="77777777" w:rsidR="00AF1624" w:rsidRDefault="00AF1624" w:rsidP="008C0B07"/>
    <w:p w14:paraId="54A0D9BB" w14:textId="259FA6A8" w:rsidR="000D6691" w:rsidRDefault="000D6691" w:rsidP="008C0B07">
      <w:r>
        <w:t xml:space="preserve">Spracované  dňa : </w:t>
      </w:r>
      <w:r w:rsidR="00167634">
        <w:t>24</w:t>
      </w:r>
      <w:r>
        <w:t xml:space="preserve">. </w:t>
      </w:r>
      <w:r w:rsidR="00765E51">
        <w:t>3</w:t>
      </w:r>
      <w:r>
        <w:t>. 20</w:t>
      </w:r>
      <w:r w:rsidR="007A299E">
        <w:t>2</w:t>
      </w:r>
      <w:r w:rsidR="00167634">
        <w:t>3</w:t>
      </w:r>
    </w:p>
    <w:p w14:paraId="78C94D39" w14:textId="5DA48DE0" w:rsidR="00AF1624" w:rsidRDefault="00AF1624" w:rsidP="008C0B07"/>
    <w:p w14:paraId="0CE3A21F" w14:textId="13CF2747" w:rsidR="00AF1624" w:rsidRDefault="00AF1624" w:rsidP="008C0B07"/>
    <w:p w14:paraId="0D22821F" w14:textId="77777777" w:rsidR="00AF1624" w:rsidRDefault="00AF1624" w:rsidP="008C0B07"/>
    <w:p w14:paraId="39CDAB7B" w14:textId="77777777" w:rsidR="002A6D60" w:rsidRDefault="002A6D60" w:rsidP="008C0B07"/>
    <w:p w14:paraId="223871A4" w14:textId="77777777" w:rsidR="000D6691" w:rsidRDefault="000D6691" w:rsidP="008C0B07">
      <w:pPr>
        <w:rPr>
          <w:b/>
          <w:bCs/>
        </w:rPr>
      </w:pPr>
      <w:r>
        <w:t xml:space="preserve">Vypracoval : Gabriela Nožičková            Schválil: Mgr. </w:t>
      </w:r>
      <w:r w:rsidR="007A299E">
        <w:t>Katarína Grznárová</w:t>
      </w:r>
      <w:r>
        <w:t xml:space="preserve"> – riaditeľka školy </w:t>
      </w:r>
      <w:r>
        <w:rPr>
          <w:b/>
          <w:bCs/>
        </w:rPr>
        <w:t xml:space="preserve">      </w:t>
      </w:r>
    </w:p>
    <w:p w14:paraId="6A6C5FE4" w14:textId="77777777" w:rsidR="000D6691" w:rsidRDefault="000D6691"/>
    <w:sectPr w:rsidR="000D6691" w:rsidSect="00F45721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3C170" w14:textId="77777777" w:rsidR="00747E90" w:rsidRDefault="00747E90">
      <w:r>
        <w:separator/>
      </w:r>
    </w:p>
  </w:endnote>
  <w:endnote w:type="continuationSeparator" w:id="0">
    <w:p w14:paraId="4D27B0E5" w14:textId="77777777" w:rsidR="00747E90" w:rsidRDefault="0074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6870" w14:textId="77777777" w:rsidR="0097746C" w:rsidRDefault="0097746C" w:rsidP="008E5613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66CDC">
      <w:rPr>
        <w:rStyle w:val="slostrany"/>
        <w:noProof/>
      </w:rPr>
      <w:t>9</w:t>
    </w:r>
    <w:r>
      <w:rPr>
        <w:rStyle w:val="slostrany"/>
      </w:rPr>
      <w:fldChar w:fldCharType="end"/>
    </w:r>
  </w:p>
  <w:p w14:paraId="69057DDB" w14:textId="77777777" w:rsidR="0097746C" w:rsidRDefault="0097746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3217" w14:textId="77777777" w:rsidR="00747E90" w:rsidRDefault="00747E90">
      <w:r>
        <w:separator/>
      </w:r>
    </w:p>
  </w:footnote>
  <w:footnote w:type="continuationSeparator" w:id="0">
    <w:p w14:paraId="311CBDE0" w14:textId="77777777" w:rsidR="00747E90" w:rsidRDefault="00747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C219D"/>
    <w:multiLevelType w:val="hybridMultilevel"/>
    <w:tmpl w:val="79986376"/>
    <w:lvl w:ilvl="0" w:tplc="5DB456F6">
      <w:start w:val="4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823BB"/>
    <w:multiLevelType w:val="hybridMultilevel"/>
    <w:tmpl w:val="666CB77C"/>
    <w:lvl w:ilvl="0" w:tplc="6E564BAC">
      <w:start w:val="46"/>
      <w:numFmt w:val="bullet"/>
      <w:lvlText w:val="-"/>
      <w:lvlJc w:val="left"/>
      <w:pPr>
        <w:ind w:left="85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" w15:restartNumberingAfterBreak="0">
    <w:nsid w:val="7F82023E"/>
    <w:multiLevelType w:val="hybridMultilevel"/>
    <w:tmpl w:val="3A90395C"/>
    <w:lvl w:ilvl="0" w:tplc="48C6484E">
      <w:start w:val="8"/>
      <w:numFmt w:val="bullet"/>
      <w:lvlText w:val="-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 w16cid:durableId="2004971828">
    <w:abstractNumId w:val="2"/>
  </w:num>
  <w:num w:numId="2" w16cid:durableId="1349521169">
    <w:abstractNumId w:val="1"/>
  </w:num>
  <w:num w:numId="3" w16cid:durableId="39134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B07"/>
    <w:rsid w:val="00005E53"/>
    <w:rsid w:val="00016A81"/>
    <w:rsid w:val="00022EE2"/>
    <w:rsid w:val="000260BC"/>
    <w:rsid w:val="00032D7E"/>
    <w:rsid w:val="000366B3"/>
    <w:rsid w:val="00040CC8"/>
    <w:rsid w:val="00045A63"/>
    <w:rsid w:val="00053044"/>
    <w:rsid w:val="00054D56"/>
    <w:rsid w:val="00057462"/>
    <w:rsid w:val="00057598"/>
    <w:rsid w:val="00066AAC"/>
    <w:rsid w:val="000671F5"/>
    <w:rsid w:val="00067A0D"/>
    <w:rsid w:val="00082EE9"/>
    <w:rsid w:val="00090E62"/>
    <w:rsid w:val="00095884"/>
    <w:rsid w:val="000A225F"/>
    <w:rsid w:val="000A390F"/>
    <w:rsid w:val="000B2A74"/>
    <w:rsid w:val="000C0D0D"/>
    <w:rsid w:val="000C1E33"/>
    <w:rsid w:val="000C7657"/>
    <w:rsid w:val="000D1D7A"/>
    <w:rsid w:val="000D340F"/>
    <w:rsid w:val="000D6691"/>
    <w:rsid w:val="000E06A9"/>
    <w:rsid w:val="000E29B9"/>
    <w:rsid w:val="000E2F28"/>
    <w:rsid w:val="000F5CAA"/>
    <w:rsid w:val="0010337C"/>
    <w:rsid w:val="001063DB"/>
    <w:rsid w:val="001073F3"/>
    <w:rsid w:val="00114E9F"/>
    <w:rsid w:val="00125A01"/>
    <w:rsid w:val="00135A0A"/>
    <w:rsid w:val="001364B7"/>
    <w:rsid w:val="00142F0D"/>
    <w:rsid w:val="001449EB"/>
    <w:rsid w:val="00145E74"/>
    <w:rsid w:val="00154CE3"/>
    <w:rsid w:val="0016345E"/>
    <w:rsid w:val="001658EA"/>
    <w:rsid w:val="00167634"/>
    <w:rsid w:val="001725AE"/>
    <w:rsid w:val="001744AC"/>
    <w:rsid w:val="001858C6"/>
    <w:rsid w:val="0018764A"/>
    <w:rsid w:val="00190DED"/>
    <w:rsid w:val="00192342"/>
    <w:rsid w:val="00197F87"/>
    <w:rsid w:val="001A12AD"/>
    <w:rsid w:val="001A1864"/>
    <w:rsid w:val="001A32B3"/>
    <w:rsid w:val="001C75C1"/>
    <w:rsid w:val="001C75F9"/>
    <w:rsid w:val="001D68E9"/>
    <w:rsid w:val="001D77FC"/>
    <w:rsid w:val="001D7EFA"/>
    <w:rsid w:val="001F14AD"/>
    <w:rsid w:val="001F4BB2"/>
    <w:rsid w:val="00204B3C"/>
    <w:rsid w:val="00205EA4"/>
    <w:rsid w:val="00206F2C"/>
    <w:rsid w:val="00216470"/>
    <w:rsid w:val="00223738"/>
    <w:rsid w:val="002363DA"/>
    <w:rsid w:val="00244380"/>
    <w:rsid w:val="002458D6"/>
    <w:rsid w:val="0024746A"/>
    <w:rsid w:val="00250C6B"/>
    <w:rsid w:val="00251C8B"/>
    <w:rsid w:val="002539C6"/>
    <w:rsid w:val="002548AB"/>
    <w:rsid w:val="00256C30"/>
    <w:rsid w:val="0027150C"/>
    <w:rsid w:val="0027390A"/>
    <w:rsid w:val="00283DBD"/>
    <w:rsid w:val="00284D87"/>
    <w:rsid w:val="00294EC8"/>
    <w:rsid w:val="00295E08"/>
    <w:rsid w:val="002A6D60"/>
    <w:rsid w:val="002B1CE7"/>
    <w:rsid w:val="002C59A6"/>
    <w:rsid w:val="002D1393"/>
    <w:rsid w:val="002D691A"/>
    <w:rsid w:val="002E1779"/>
    <w:rsid w:val="002E5362"/>
    <w:rsid w:val="002E6D09"/>
    <w:rsid w:val="002E7EDE"/>
    <w:rsid w:val="002F6EFC"/>
    <w:rsid w:val="00300653"/>
    <w:rsid w:val="00306680"/>
    <w:rsid w:val="00310249"/>
    <w:rsid w:val="00311AA8"/>
    <w:rsid w:val="00317612"/>
    <w:rsid w:val="00322320"/>
    <w:rsid w:val="00325C36"/>
    <w:rsid w:val="00326458"/>
    <w:rsid w:val="00352C42"/>
    <w:rsid w:val="003654D5"/>
    <w:rsid w:val="0036662C"/>
    <w:rsid w:val="003755EA"/>
    <w:rsid w:val="003B1522"/>
    <w:rsid w:val="003B3F77"/>
    <w:rsid w:val="003B7DF6"/>
    <w:rsid w:val="003C5CA8"/>
    <w:rsid w:val="003C6368"/>
    <w:rsid w:val="003D5C74"/>
    <w:rsid w:val="003D7244"/>
    <w:rsid w:val="003F0562"/>
    <w:rsid w:val="00404C6A"/>
    <w:rsid w:val="0042568A"/>
    <w:rsid w:val="00426FBC"/>
    <w:rsid w:val="00431ED7"/>
    <w:rsid w:val="004322B9"/>
    <w:rsid w:val="00435113"/>
    <w:rsid w:val="0043664A"/>
    <w:rsid w:val="00437BFB"/>
    <w:rsid w:val="0044037F"/>
    <w:rsid w:val="00440652"/>
    <w:rsid w:val="00446A82"/>
    <w:rsid w:val="00447836"/>
    <w:rsid w:val="0045146D"/>
    <w:rsid w:val="004537C4"/>
    <w:rsid w:val="00461084"/>
    <w:rsid w:val="004753DD"/>
    <w:rsid w:val="004802A1"/>
    <w:rsid w:val="0048298B"/>
    <w:rsid w:val="0049205C"/>
    <w:rsid w:val="00493D23"/>
    <w:rsid w:val="0049656B"/>
    <w:rsid w:val="004A2AD0"/>
    <w:rsid w:val="004B1E0B"/>
    <w:rsid w:val="004B7932"/>
    <w:rsid w:val="004C0337"/>
    <w:rsid w:val="004C1A3B"/>
    <w:rsid w:val="004C513B"/>
    <w:rsid w:val="004C6D2A"/>
    <w:rsid w:val="004D0747"/>
    <w:rsid w:val="004D5F19"/>
    <w:rsid w:val="004D654B"/>
    <w:rsid w:val="004E5022"/>
    <w:rsid w:val="004F3475"/>
    <w:rsid w:val="004F46E9"/>
    <w:rsid w:val="00510F13"/>
    <w:rsid w:val="005165B1"/>
    <w:rsid w:val="005174ED"/>
    <w:rsid w:val="00523E74"/>
    <w:rsid w:val="005377DB"/>
    <w:rsid w:val="00552D67"/>
    <w:rsid w:val="00553E32"/>
    <w:rsid w:val="00555A6C"/>
    <w:rsid w:val="00557988"/>
    <w:rsid w:val="005662D2"/>
    <w:rsid w:val="00572AEC"/>
    <w:rsid w:val="005746D1"/>
    <w:rsid w:val="00577ED9"/>
    <w:rsid w:val="00582E1F"/>
    <w:rsid w:val="00590337"/>
    <w:rsid w:val="005B0490"/>
    <w:rsid w:val="005B5CF4"/>
    <w:rsid w:val="005B7DE5"/>
    <w:rsid w:val="005D010B"/>
    <w:rsid w:val="005D2F4F"/>
    <w:rsid w:val="005D4B17"/>
    <w:rsid w:val="005E51CB"/>
    <w:rsid w:val="005E77FE"/>
    <w:rsid w:val="005F0FCD"/>
    <w:rsid w:val="005F4B94"/>
    <w:rsid w:val="00617CC5"/>
    <w:rsid w:val="00621F93"/>
    <w:rsid w:val="00621FC6"/>
    <w:rsid w:val="00625EC1"/>
    <w:rsid w:val="0063680C"/>
    <w:rsid w:val="00641944"/>
    <w:rsid w:val="00641F39"/>
    <w:rsid w:val="00653DBE"/>
    <w:rsid w:val="00656C6A"/>
    <w:rsid w:val="0067463B"/>
    <w:rsid w:val="00690496"/>
    <w:rsid w:val="0069178B"/>
    <w:rsid w:val="006919A9"/>
    <w:rsid w:val="00693CEA"/>
    <w:rsid w:val="006952D1"/>
    <w:rsid w:val="006962DC"/>
    <w:rsid w:val="006A05B6"/>
    <w:rsid w:val="006A10CD"/>
    <w:rsid w:val="006A6D85"/>
    <w:rsid w:val="006C518E"/>
    <w:rsid w:val="006C7F01"/>
    <w:rsid w:val="006D21F0"/>
    <w:rsid w:val="006E59FA"/>
    <w:rsid w:val="006F1236"/>
    <w:rsid w:val="006F22B8"/>
    <w:rsid w:val="006F6251"/>
    <w:rsid w:val="00705DE5"/>
    <w:rsid w:val="00707286"/>
    <w:rsid w:val="00715B3D"/>
    <w:rsid w:val="00724FCE"/>
    <w:rsid w:val="007448FD"/>
    <w:rsid w:val="00747E90"/>
    <w:rsid w:val="00765E51"/>
    <w:rsid w:val="00767468"/>
    <w:rsid w:val="00771274"/>
    <w:rsid w:val="0077206F"/>
    <w:rsid w:val="007837DB"/>
    <w:rsid w:val="00790F4A"/>
    <w:rsid w:val="007A299E"/>
    <w:rsid w:val="007A6C5E"/>
    <w:rsid w:val="007D1159"/>
    <w:rsid w:val="007D4C3A"/>
    <w:rsid w:val="007E2FF5"/>
    <w:rsid w:val="007E48F5"/>
    <w:rsid w:val="007E67B8"/>
    <w:rsid w:val="0080428D"/>
    <w:rsid w:val="00811313"/>
    <w:rsid w:val="0081242E"/>
    <w:rsid w:val="00813541"/>
    <w:rsid w:val="00845D77"/>
    <w:rsid w:val="00850465"/>
    <w:rsid w:val="00853143"/>
    <w:rsid w:val="00860637"/>
    <w:rsid w:val="00861762"/>
    <w:rsid w:val="00863382"/>
    <w:rsid w:val="008633B2"/>
    <w:rsid w:val="00872522"/>
    <w:rsid w:val="00877842"/>
    <w:rsid w:val="008862A0"/>
    <w:rsid w:val="00895AD7"/>
    <w:rsid w:val="008A2056"/>
    <w:rsid w:val="008A4394"/>
    <w:rsid w:val="008A5A1E"/>
    <w:rsid w:val="008A776D"/>
    <w:rsid w:val="008B41BC"/>
    <w:rsid w:val="008B552E"/>
    <w:rsid w:val="008C0B07"/>
    <w:rsid w:val="008D27EE"/>
    <w:rsid w:val="008E54D7"/>
    <w:rsid w:val="008E5613"/>
    <w:rsid w:val="008F12F0"/>
    <w:rsid w:val="008F14E0"/>
    <w:rsid w:val="008F383D"/>
    <w:rsid w:val="008F6C8F"/>
    <w:rsid w:val="00900581"/>
    <w:rsid w:val="00901533"/>
    <w:rsid w:val="0090187A"/>
    <w:rsid w:val="00910193"/>
    <w:rsid w:val="00911986"/>
    <w:rsid w:val="0091423F"/>
    <w:rsid w:val="00915398"/>
    <w:rsid w:val="00915E48"/>
    <w:rsid w:val="0093494E"/>
    <w:rsid w:val="009431D1"/>
    <w:rsid w:val="0095284F"/>
    <w:rsid w:val="00961A15"/>
    <w:rsid w:val="00965F41"/>
    <w:rsid w:val="00966CDC"/>
    <w:rsid w:val="00967188"/>
    <w:rsid w:val="009679F1"/>
    <w:rsid w:val="0097186E"/>
    <w:rsid w:val="00971F58"/>
    <w:rsid w:val="0097266C"/>
    <w:rsid w:val="00974CA2"/>
    <w:rsid w:val="0097746C"/>
    <w:rsid w:val="00977EC0"/>
    <w:rsid w:val="00983CE0"/>
    <w:rsid w:val="00986C69"/>
    <w:rsid w:val="009873F0"/>
    <w:rsid w:val="00991D9C"/>
    <w:rsid w:val="0099365F"/>
    <w:rsid w:val="0099652D"/>
    <w:rsid w:val="009A4E2A"/>
    <w:rsid w:val="009A5E11"/>
    <w:rsid w:val="009A5EC7"/>
    <w:rsid w:val="009C3942"/>
    <w:rsid w:val="009C444F"/>
    <w:rsid w:val="009C7B87"/>
    <w:rsid w:val="009E4D65"/>
    <w:rsid w:val="009E7B21"/>
    <w:rsid w:val="009F1188"/>
    <w:rsid w:val="009F2C33"/>
    <w:rsid w:val="00A01FDD"/>
    <w:rsid w:val="00A06764"/>
    <w:rsid w:val="00A22446"/>
    <w:rsid w:val="00A229BB"/>
    <w:rsid w:val="00A33F48"/>
    <w:rsid w:val="00A41E5C"/>
    <w:rsid w:val="00A42250"/>
    <w:rsid w:val="00A42879"/>
    <w:rsid w:val="00A53D64"/>
    <w:rsid w:val="00A54A04"/>
    <w:rsid w:val="00A57173"/>
    <w:rsid w:val="00A6257F"/>
    <w:rsid w:val="00A637C9"/>
    <w:rsid w:val="00A6753D"/>
    <w:rsid w:val="00A73577"/>
    <w:rsid w:val="00A907D6"/>
    <w:rsid w:val="00A93B23"/>
    <w:rsid w:val="00AA431E"/>
    <w:rsid w:val="00AB4610"/>
    <w:rsid w:val="00AB5F22"/>
    <w:rsid w:val="00AC1A4D"/>
    <w:rsid w:val="00AD58B4"/>
    <w:rsid w:val="00AE61D2"/>
    <w:rsid w:val="00AF1624"/>
    <w:rsid w:val="00AF29F0"/>
    <w:rsid w:val="00AF342A"/>
    <w:rsid w:val="00AF3B69"/>
    <w:rsid w:val="00AF5188"/>
    <w:rsid w:val="00AF5776"/>
    <w:rsid w:val="00B0587D"/>
    <w:rsid w:val="00B064BA"/>
    <w:rsid w:val="00B133A2"/>
    <w:rsid w:val="00B20FCA"/>
    <w:rsid w:val="00B27888"/>
    <w:rsid w:val="00B37034"/>
    <w:rsid w:val="00B42262"/>
    <w:rsid w:val="00B536B9"/>
    <w:rsid w:val="00B55C68"/>
    <w:rsid w:val="00B6588D"/>
    <w:rsid w:val="00B90E79"/>
    <w:rsid w:val="00B92269"/>
    <w:rsid w:val="00B94021"/>
    <w:rsid w:val="00B94873"/>
    <w:rsid w:val="00BA0A67"/>
    <w:rsid w:val="00BA0E77"/>
    <w:rsid w:val="00BA1A69"/>
    <w:rsid w:val="00BA3680"/>
    <w:rsid w:val="00BA5645"/>
    <w:rsid w:val="00BA709C"/>
    <w:rsid w:val="00BB22FF"/>
    <w:rsid w:val="00BB26C8"/>
    <w:rsid w:val="00BB4DCC"/>
    <w:rsid w:val="00BC16E8"/>
    <w:rsid w:val="00BC6870"/>
    <w:rsid w:val="00BE21A4"/>
    <w:rsid w:val="00BE278E"/>
    <w:rsid w:val="00BE27A2"/>
    <w:rsid w:val="00BE3BBC"/>
    <w:rsid w:val="00BE3C8E"/>
    <w:rsid w:val="00BE6ECB"/>
    <w:rsid w:val="00C037C8"/>
    <w:rsid w:val="00C13C06"/>
    <w:rsid w:val="00C13CB8"/>
    <w:rsid w:val="00C218CF"/>
    <w:rsid w:val="00C30B80"/>
    <w:rsid w:val="00C32D7A"/>
    <w:rsid w:val="00C33FD4"/>
    <w:rsid w:val="00C42826"/>
    <w:rsid w:val="00C46D87"/>
    <w:rsid w:val="00C7516F"/>
    <w:rsid w:val="00C768A8"/>
    <w:rsid w:val="00C80B02"/>
    <w:rsid w:val="00C81411"/>
    <w:rsid w:val="00C84384"/>
    <w:rsid w:val="00C87A98"/>
    <w:rsid w:val="00C937E4"/>
    <w:rsid w:val="00C97F91"/>
    <w:rsid w:val="00CA1330"/>
    <w:rsid w:val="00CA59D6"/>
    <w:rsid w:val="00CB10A2"/>
    <w:rsid w:val="00CC1369"/>
    <w:rsid w:val="00CE34A6"/>
    <w:rsid w:val="00CE3E02"/>
    <w:rsid w:val="00CE5E5D"/>
    <w:rsid w:val="00CE6489"/>
    <w:rsid w:val="00CF45FB"/>
    <w:rsid w:val="00D03415"/>
    <w:rsid w:val="00D040D0"/>
    <w:rsid w:val="00D062F1"/>
    <w:rsid w:val="00D33D67"/>
    <w:rsid w:val="00D37EC4"/>
    <w:rsid w:val="00D42098"/>
    <w:rsid w:val="00D54570"/>
    <w:rsid w:val="00D66A9D"/>
    <w:rsid w:val="00D731A2"/>
    <w:rsid w:val="00D77378"/>
    <w:rsid w:val="00D83DBC"/>
    <w:rsid w:val="00D87BC0"/>
    <w:rsid w:val="00D87ECC"/>
    <w:rsid w:val="00D92A65"/>
    <w:rsid w:val="00D939C7"/>
    <w:rsid w:val="00DB05E0"/>
    <w:rsid w:val="00DB3235"/>
    <w:rsid w:val="00DC36E9"/>
    <w:rsid w:val="00DC5A22"/>
    <w:rsid w:val="00DD0D2A"/>
    <w:rsid w:val="00DD170C"/>
    <w:rsid w:val="00DE2DA7"/>
    <w:rsid w:val="00DE4833"/>
    <w:rsid w:val="00DE6CBE"/>
    <w:rsid w:val="00DE7D72"/>
    <w:rsid w:val="00DF0A45"/>
    <w:rsid w:val="00DF0A57"/>
    <w:rsid w:val="00DF57D8"/>
    <w:rsid w:val="00DF6980"/>
    <w:rsid w:val="00E124D6"/>
    <w:rsid w:val="00E257BC"/>
    <w:rsid w:val="00E31613"/>
    <w:rsid w:val="00E416C7"/>
    <w:rsid w:val="00E41F38"/>
    <w:rsid w:val="00E60FAF"/>
    <w:rsid w:val="00E678A0"/>
    <w:rsid w:val="00E7064A"/>
    <w:rsid w:val="00E715F7"/>
    <w:rsid w:val="00E71FD4"/>
    <w:rsid w:val="00E767BB"/>
    <w:rsid w:val="00E770CB"/>
    <w:rsid w:val="00E87943"/>
    <w:rsid w:val="00E9563D"/>
    <w:rsid w:val="00EA34EE"/>
    <w:rsid w:val="00ED6A1D"/>
    <w:rsid w:val="00ED7450"/>
    <w:rsid w:val="00EE0695"/>
    <w:rsid w:val="00EE0C70"/>
    <w:rsid w:val="00EF0406"/>
    <w:rsid w:val="00EF3F0A"/>
    <w:rsid w:val="00EF4624"/>
    <w:rsid w:val="00F0078C"/>
    <w:rsid w:val="00F05483"/>
    <w:rsid w:val="00F13CA9"/>
    <w:rsid w:val="00F146DE"/>
    <w:rsid w:val="00F219D5"/>
    <w:rsid w:val="00F21C3F"/>
    <w:rsid w:val="00F32644"/>
    <w:rsid w:val="00F45721"/>
    <w:rsid w:val="00F505AA"/>
    <w:rsid w:val="00F51AAF"/>
    <w:rsid w:val="00F61D66"/>
    <w:rsid w:val="00F704D2"/>
    <w:rsid w:val="00F716FA"/>
    <w:rsid w:val="00F731E3"/>
    <w:rsid w:val="00F77216"/>
    <w:rsid w:val="00F86594"/>
    <w:rsid w:val="00F87043"/>
    <w:rsid w:val="00F904C4"/>
    <w:rsid w:val="00F93332"/>
    <w:rsid w:val="00F977F9"/>
    <w:rsid w:val="00FA0B97"/>
    <w:rsid w:val="00FA48E5"/>
    <w:rsid w:val="00FB0B2F"/>
    <w:rsid w:val="00FB2883"/>
    <w:rsid w:val="00FB4A21"/>
    <w:rsid w:val="00FC6833"/>
    <w:rsid w:val="00FE1F2F"/>
    <w:rsid w:val="00FE5E7D"/>
    <w:rsid w:val="00F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1F550"/>
  <w15:docId w15:val="{4B8C8AC6-8C4B-417D-80E7-D04CCA8B6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0B07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C0B07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8C0B07"/>
    <w:rPr>
      <w:b/>
      <w:bCs/>
      <w:sz w:val="24"/>
      <w:szCs w:val="24"/>
      <w:lang w:val="sk-SK" w:eastAsia="cs-CZ"/>
    </w:rPr>
  </w:style>
  <w:style w:type="paragraph" w:styleId="Pta">
    <w:name w:val="footer"/>
    <w:basedOn w:val="Normlny"/>
    <w:link w:val="PtaChar"/>
    <w:uiPriority w:val="99"/>
    <w:rsid w:val="00A637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BB26C8"/>
    <w:rPr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A637C9"/>
  </w:style>
  <w:style w:type="paragraph" w:styleId="Odsekzoznamu">
    <w:name w:val="List Paragraph"/>
    <w:basedOn w:val="Normlny"/>
    <w:uiPriority w:val="34"/>
    <w:qFormat/>
    <w:rsid w:val="00404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5731E-E646-4E41-90B7-BBFA01C3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3905</Words>
  <Characters>22260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Rozor  hospodárenia</vt:lpstr>
    </vt:vector>
  </TitlesOfParts>
  <Company>Hewlett-Packard Company</Company>
  <LinksUpToDate>false</LinksUpToDate>
  <CharactersWithSpaces>26113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Rozor  hospodárenia</dc:title>
  <dc:creator>ZS Holleho</dc:creator>
  <cp:lastModifiedBy>SKOLA</cp:lastModifiedBy>
  <cp:revision>17</cp:revision>
  <cp:lastPrinted>2022-03-03T10:40:00Z</cp:lastPrinted>
  <dcterms:created xsi:type="dcterms:W3CDTF">2023-03-24T17:37:00Z</dcterms:created>
  <dcterms:modified xsi:type="dcterms:W3CDTF">2023-03-27T11:15:00Z</dcterms:modified>
</cp:coreProperties>
</file>